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45" w:rsidRPr="00BA2C93" w:rsidRDefault="00386C45" w:rsidP="00C46DAD">
      <w:pPr>
        <w:pStyle w:val="Ttulo2"/>
        <w:rPr>
          <w:noProof/>
        </w:rPr>
      </w:pPr>
      <w:r w:rsidRPr="00BA2C93">
        <w:rPr>
          <w:noProof/>
        </w:rPr>
        <w:t>Trabajo Monográfico</w:t>
      </w:r>
    </w:p>
    <w:p w:rsidR="007B3045" w:rsidRPr="00BA2C93" w:rsidRDefault="00233E6B" w:rsidP="006E51AF">
      <w:pPr>
        <w:jc w:val="center"/>
        <w:rPr>
          <w:rFonts w:ascii="Times New Roman" w:hAnsi="Times New Roman" w:cs="Times New Roman"/>
          <w:sz w:val="36"/>
          <w:szCs w:val="24"/>
        </w:rPr>
      </w:pPr>
      <w:r w:rsidRPr="00BA2C93">
        <w:rPr>
          <w:rFonts w:ascii="Times New Roman" w:hAnsi="Times New Roman" w:cs="Times New Roman"/>
          <w:noProof/>
          <w:sz w:val="36"/>
          <w:szCs w:val="24"/>
        </w:rPr>
        <w:t>L</w:t>
      </w:r>
      <w:r w:rsidR="00AB6475" w:rsidRPr="00BA2C93">
        <w:rPr>
          <w:rFonts w:ascii="Times New Roman" w:hAnsi="Times New Roman" w:cs="Times New Roman"/>
          <w:noProof/>
          <w:sz w:val="36"/>
          <w:szCs w:val="24"/>
        </w:rPr>
        <w:t>as revueltas de 1968</w:t>
      </w:r>
      <w:r w:rsidR="00386C45" w:rsidRPr="00BA2C93">
        <w:rPr>
          <w:rFonts w:ascii="Times New Roman" w:hAnsi="Times New Roman" w:cs="Times New Roman"/>
          <w:noProof/>
          <w:sz w:val="36"/>
          <w:szCs w:val="24"/>
        </w:rPr>
        <w:t>: su</w:t>
      </w:r>
      <w:r w:rsidRPr="00BA2C93">
        <w:rPr>
          <w:rFonts w:ascii="Times New Roman" w:hAnsi="Times New Roman" w:cs="Times New Roman"/>
          <w:noProof/>
          <w:sz w:val="36"/>
          <w:szCs w:val="24"/>
        </w:rPr>
        <w:t>s</w:t>
      </w:r>
      <w:r w:rsidR="00386C45" w:rsidRPr="00BA2C93">
        <w:rPr>
          <w:rFonts w:ascii="Times New Roman" w:hAnsi="Times New Roman" w:cs="Times New Roman"/>
          <w:noProof/>
          <w:sz w:val="36"/>
          <w:szCs w:val="24"/>
        </w:rPr>
        <w:t xml:space="preserve"> significado</w:t>
      </w:r>
      <w:r w:rsidRPr="00BA2C93">
        <w:rPr>
          <w:rFonts w:ascii="Times New Roman" w:hAnsi="Times New Roman" w:cs="Times New Roman"/>
          <w:noProof/>
          <w:sz w:val="36"/>
          <w:szCs w:val="24"/>
        </w:rPr>
        <w:t>s</w:t>
      </w:r>
      <w:r w:rsidR="00386C45" w:rsidRPr="00BA2C93">
        <w:rPr>
          <w:rFonts w:ascii="Times New Roman" w:hAnsi="Times New Roman" w:cs="Times New Roman"/>
          <w:noProof/>
          <w:sz w:val="36"/>
          <w:szCs w:val="24"/>
        </w:rPr>
        <w:t xml:space="preserve"> histórico</w:t>
      </w:r>
      <w:r w:rsidRPr="00BA2C93">
        <w:rPr>
          <w:rFonts w:ascii="Times New Roman" w:hAnsi="Times New Roman" w:cs="Times New Roman"/>
          <w:noProof/>
          <w:sz w:val="36"/>
          <w:szCs w:val="24"/>
        </w:rPr>
        <w:t>s</w:t>
      </w:r>
    </w:p>
    <w:p w:rsidR="007B3045" w:rsidRPr="00BA2C93" w:rsidRDefault="007B3045" w:rsidP="00F30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52" w:rsidRPr="00BA2C93" w:rsidRDefault="008B6552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1AC7" w:rsidRPr="00BA2C93" w:rsidRDefault="00233E6B" w:rsidP="005F68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T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uvieron un alcance planetario</w:t>
      </w:r>
      <w:r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 involucraron 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a las sociedades de un lado y del otro del “telón de acero”. D</w:t>
      </w:r>
      <w:r w:rsidR="00A34028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ada </w:t>
      </w:r>
      <w:r w:rsidR="006B4C2F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su extensión y heterogeneidad suscitaron </w:t>
      </w:r>
      <w:r w:rsidR="00A34028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análisis de los más diversos, como pudo apreciarse en las publicaciones a que dieron lugar </w:t>
      </w:r>
      <w:r w:rsidR="00DC1AC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lo largo de </w:t>
      </w:r>
      <w:r w:rsidR="00A34028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2018. Medio siglo de distancia </w:t>
      </w:r>
      <w:r w:rsidR="00DC1AC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pareció a </w:t>
      </w:r>
      <w:r w:rsidR="00E913D0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muchos </w:t>
      </w:r>
      <w:r w:rsidR="00DC1AC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protagonistas de los sucesos y a los estudiosos de la historia contemporánea una buena medida para revisitar los 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acontecimientos</w:t>
      </w:r>
      <w:r w:rsidR="00DC1AC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mayor perspectiva. </w:t>
      </w:r>
    </w:p>
    <w:p w:rsidR="005F6861" w:rsidRPr="00BA2C93" w:rsidRDefault="005F6861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B6552" w:rsidRPr="00BA2C93" w:rsidRDefault="00DC1AC7" w:rsidP="005F68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En sintonía con ello, nuestra propuesta de monografía consiste en analizar los sucesos del 68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’ </w:t>
      </w:r>
      <w:proofErr w:type="gramStart"/>
      <w:r w:rsidR="00233E6B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en relación a</w:t>
      </w:r>
      <w:proofErr w:type="gramEnd"/>
      <w:r w:rsidR="00233E6B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procesos </w:t>
      </w:r>
      <w:r w:rsidR="00233E6B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históricos 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del siglo XX </w:t>
      </w:r>
      <w:r w:rsidR="00C5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examinados </w:t>
      </w:r>
      <w:r w:rsidR="00F30A03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durante el cuatrimestre</w:t>
      </w:r>
      <w:r w:rsidR="00E81F8C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Si bien es importante conocer </w:t>
      </w:r>
      <w:r w:rsidR="00731E8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abanico </w:t>
      </w:r>
      <w:r w:rsidR="005F6861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mundial </w:t>
      </w:r>
      <w:r w:rsidR="00731E8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</w:t>
      </w:r>
      <w:r w:rsidR="00E81F8C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las revueltas, el análisis</w:t>
      </w:r>
      <w:r w:rsidR="00731E8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debe privilegiar </w:t>
      </w:r>
      <w:r w:rsidR="00E81F8C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los sucesos de Europa Occidental</w:t>
      </w:r>
      <w:r w:rsidR="006E51AF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en particular el “mayo francés”</w:t>
      </w:r>
      <w:r w:rsidR="00731E87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, con atención a las diferentes perspectivas que lo abordaron</w:t>
      </w:r>
      <w:r w:rsidR="00BA75DA" w:rsidRPr="00BA2C93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8B6552" w:rsidRPr="00BA2C93" w:rsidRDefault="008B6552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</w:pPr>
    </w:p>
    <w:p w:rsidR="00EC1ACB" w:rsidRPr="00BA2C93" w:rsidRDefault="00731E87" w:rsidP="005F68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Más específicamente</w:t>
      </w:r>
      <w:r w:rsidR="00C50A03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,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se pide 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analizar con perspectiva histórica los movimientos sociales del 68</w:t>
      </w:r>
      <w:r w:rsidR="00C50A03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’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a </w:t>
      </w:r>
      <w:r w:rsidR="00E81F8C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partir de</w:t>
      </w:r>
      <w:r w:rsidR="00C50A03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l documental </w:t>
      </w:r>
      <w:r w:rsidRPr="00BA2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R</w:t>
      </w:r>
      <w:r w:rsidR="00523CEE" w:rsidRPr="00BA2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evuelta global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y de una selección de textos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abajo detallada, que debe abordarse </w:t>
      </w:r>
      <w:proofErr w:type="gramStart"/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en relación a</w:t>
      </w:r>
      <w:proofErr w:type="gramEnd"/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la </w:t>
      </w:r>
      <w:r w:rsidR="00523CEE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bibliografía</w:t>
      </w:r>
      <w:r w:rsidR="00E81F8C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vista 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durante 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la cursada 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sobre los procesos históricos de la posguerra. Los textos de Van </w:t>
      </w:r>
      <w:proofErr w:type="spellStart"/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der</w:t>
      </w:r>
      <w:proofErr w:type="spellEnd"/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</w:t>
      </w:r>
      <w:proofErr w:type="spellStart"/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Wee</w:t>
      </w:r>
      <w:proofErr w:type="spellEnd"/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sobre Economía mixta o de Hobsbawm sobre la Guerra Fría deben 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incorporarse</w:t>
      </w:r>
      <w:r w:rsidR="00EC1ACB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en el análisis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para una mejor contextualización de los sucesos del 68.</w:t>
      </w: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</w:t>
      </w:r>
    </w:p>
    <w:p w:rsidR="00EC1ACB" w:rsidRPr="00BA2C93" w:rsidRDefault="00EC1ACB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</w:pPr>
    </w:p>
    <w:p w:rsidR="008B6552" w:rsidRPr="00BA2C93" w:rsidRDefault="00EC1ACB" w:rsidP="005F68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Abordar estos hechos desde la perspectiva histórica </w:t>
      </w:r>
      <w:r w:rsidR="00C36897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implica 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analizar aspectos tan </w:t>
      </w:r>
      <w:r w:rsidR="00C51C0D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básicos,</w:t>
      </w:r>
      <w:r w:rsidR="005F6861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 xml:space="preserve"> aunque a veces controversiales como </w:t>
      </w:r>
      <w:r w:rsidR="00523CEE" w:rsidRPr="00BA2C93">
        <w:rPr>
          <w:rFonts w:ascii="Times New Roman" w:eastAsia="Times New Roman" w:hAnsi="Times New Roman" w:cs="Times New Roman"/>
          <w:color w:val="26282A"/>
          <w:sz w:val="24"/>
          <w:szCs w:val="24"/>
          <w:lang w:eastAsia="es-AR"/>
        </w:rPr>
        <w:t>los siguientes:</w:t>
      </w:r>
    </w:p>
    <w:p w:rsidR="00E81F8C" w:rsidRPr="00BA2C93" w:rsidRDefault="00E81F8C" w:rsidP="00F30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A75DA" w:rsidRPr="00BA2C93" w:rsidRDefault="00C50A03" w:rsidP="005F68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Las causas y </w:t>
      </w:r>
      <w:r w:rsidR="005F6861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los 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móviles, </w:t>
      </w:r>
      <w:r w:rsidR="005F6861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los 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actores y </w:t>
      </w:r>
      <w:r w:rsidR="005F6861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los 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conflictos de las rebeliones </w:t>
      </w:r>
      <w:proofErr w:type="spellStart"/>
      <w:r w:rsidR="00380F69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antisistémicas</w:t>
      </w:r>
      <w:proofErr w:type="spellEnd"/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del 68’. La composición de los </w:t>
      </w:r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movimientos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sociales 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 los factores 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locales y mundiales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alentaron sus luchas. 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Su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relación con 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descolonización 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 la Guerra fría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(guerra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Argelia, guerra de Vietnam).</w:t>
      </w:r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Características y evolución de la relación entre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estudiantes y la clase obrera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</w:t>
      </w:r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Polémicas </w:t>
      </w:r>
      <w:proofErr w:type="gramStart"/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relación al</w:t>
      </w:r>
      <w:proofErr w:type="gramEnd"/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tencial revolucionario de estos movimientos</w:t>
      </w:r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</w:t>
      </w:r>
      <w:r w:rsidR="00C51C0D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ueron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movimientos por la libertad o por la igualdad? ¿Cuál es la diferencia?</w:t>
      </w:r>
    </w:p>
    <w:p w:rsidR="00BA75DA" w:rsidRPr="00BA2C93" w:rsidRDefault="00C51C0D" w:rsidP="00E91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¿Cómo explican los autores el fracaso relativo de esta “primavera de los pueblos”?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el caso de Francia, </w:t>
      </w:r>
      <w:r w:rsidR="00007A36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cuáles fueron los r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esultados y 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las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consecuencias de mayo del 68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’</w:t>
      </w:r>
      <w:r w:rsidR="00007A36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  <w:r w:rsidR="00E913D0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¿Qué relaciones se pueden establecer entre las protestas y el proceso económico; cómo se vincula con la crisis del Estado de Bienestar Keynesiano?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</w:t>
      </w:r>
      <w:r w:rsidR="00C36897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Fueron </w:t>
      </w:r>
      <w:r w:rsidR="00171EB4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estas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revueltas </w:t>
      </w:r>
      <w:r w:rsidR="00171EB4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 síntoma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la inc</w:t>
      </w:r>
      <w:r w:rsidR="00171EB4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ompatibilidad entre la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economía mixta y </w:t>
      </w:r>
      <w:r w:rsidR="00171EB4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</w:t>
      </w:r>
      <w:r w:rsidR="00BA75D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democracia?</w:t>
      </w:r>
      <w:r w:rsidR="00BF2ECA" w:rsidRPr="00BA2C9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:rsidR="0028658F" w:rsidRDefault="0028658F" w:rsidP="00F30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50AB1" w:rsidRDefault="00150AB1" w:rsidP="00150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</w:p>
    <w:p w:rsidR="00150AB1" w:rsidRDefault="00150AB1" w:rsidP="00150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</w:p>
    <w:p w:rsidR="008B6552" w:rsidRDefault="00BA2C93" w:rsidP="00150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  <w:r w:rsidRPr="00BA2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Bibliografía</w:t>
      </w:r>
    </w:p>
    <w:p w:rsidR="00150AB1" w:rsidRPr="00BA2C93" w:rsidRDefault="00150AB1" w:rsidP="00150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045" w:rsidRPr="009663F0" w:rsidRDefault="00150AB1" w:rsidP="00F30A03">
      <w:pPr>
        <w:pStyle w:val="Prrafodelista"/>
        <w:numPr>
          <w:ilvl w:val="0"/>
          <w:numId w:val="1"/>
        </w:numPr>
        <w:ind w:left="360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  <w:r w:rsidR="007B3045" w:rsidRPr="00BA2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tooltip="Protegido por Outlook: https://www.youtube.com/watch?v=t42P3vbWqd4. Haga clic o pulse para seguir el vínculo." w:history="1">
        <w:r w:rsidR="007B3045" w:rsidRPr="00BA2C93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1968, la revuelta global Diez años que sacudieron el mundo</w:t>
        </w:r>
      </w:hyperlink>
    </w:p>
    <w:p w:rsidR="009663F0" w:rsidRDefault="00150AB1" w:rsidP="00F30A03">
      <w:pPr>
        <w:pStyle w:val="Prrafodelista"/>
        <w:numPr>
          <w:ilvl w:val="0"/>
          <w:numId w:val="1"/>
        </w:numPr>
        <w:ind w:left="360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Video: Mayo francés (1968) </w:t>
      </w:r>
      <w:hyperlink r:id="rId9" w:history="1">
        <w:r w:rsidRPr="00577774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https://www.youtube.com/watch?v=GGmaL5A0Lhc</w:t>
        </w:r>
      </w:hyperlink>
    </w:p>
    <w:p w:rsidR="00150AB1" w:rsidRPr="0028658F" w:rsidRDefault="00150AB1" w:rsidP="00150AB1">
      <w:pPr>
        <w:pStyle w:val="Prrafodelista"/>
        <w:ind w:left="360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B3045" w:rsidRPr="00BA2C93" w:rsidRDefault="007B3045" w:rsidP="00F30A03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lastRenderedPageBreak/>
        <w:t>Claus Offe (2007) Partidos Políticos y nuevos movimientos sociales. “Democracia de Competencia entre partidos y el Estado de Bienestar Keynesiano. Reflexiones acerca de sus limitaciones históricas</w:t>
      </w:r>
      <w:proofErr w:type="gramStart"/>
      <w:r w:rsidRPr="00BA2C93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 xml:space="preserve"> Editorial Sistema</w:t>
      </w:r>
    </w:p>
    <w:p w:rsidR="007B3045" w:rsidRDefault="00DA2A0C" w:rsidP="00F30A0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3045" w:rsidRPr="00BA2C93">
          <w:rPr>
            <w:rStyle w:val="Hipervnculo"/>
            <w:rFonts w:ascii="Times New Roman" w:hAnsi="Times New Roman" w:cs="Times New Roman"/>
            <w:sz w:val="24"/>
            <w:szCs w:val="24"/>
          </w:rPr>
          <w:t>https://cienciapolitica1ucalp.files.wordpress.com/2016/02/offe-claus-democracia-de-competencia-entre-partidos-y-eb-keynesiano.pdf</w:t>
        </w:r>
      </w:hyperlink>
    </w:p>
    <w:p w:rsidR="00BA2C93" w:rsidRDefault="00BA2C93" w:rsidP="00F30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045" w:rsidRPr="00BA2C93" w:rsidRDefault="00FD5AA5" w:rsidP="00F30A03">
      <w:pPr>
        <w:pStyle w:val="Prrafodelista"/>
        <w:numPr>
          <w:ilvl w:val="0"/>
          <w:numId w:val="1"/>
        </w:numPr>
        <w:shd w:val="clear" w:color="auto" w:fill="FFFFFF"/>
        <w:spacing w:before="90" w:after="21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Revista Primera Plana (octubre 1968). Reportaje a Marcuse, N°302, Buenos </w:t>
      </w:r>
      <w:proofErr w:type="gramStart"/>
      <w:r w:rsidRPr="00BA2C93">
        <w:rPr>
          <w:rFonts w:ascii="Times New Roman" w:hAnsi="Times New Roman" w:cs="Times New Roman"/>
          <w:sz w:val="24"/>
          <w:szCs w:val="24"/>
        </w:rPr>
        <w:t>Aires.</w:t>
      </w:r>
      <w:r w:rsidR="002865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658F">
        <w:rPr>
          <w:rFonts w:ascii="Times New Roman" w:hAnsi="Times New Roman" w:cs="Times New Roman"/>
          <w:sz w:val="24"/>
          <w:szCs w:val="24"/>
        </w:rPr>
        <w:t>en la página de la cátedra)</w:t>
      </w:r>
    </w:p>
    <w:p w:rsidR="00FD5AA5" w:rsidRPr="00BA2C93" w:rsidRDefault="00FD5AA5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D5AA5" w:rsidRPr="00BA2C93" w:rsidRDefault="00FD5AA5" w:rsidP="00F30A03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Revista Viento Sur “Cincuentenario de 1968. Entrevista a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Kristin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 Ross. Francia: en busca del </w:t>
      </w:r>
      <w:proofErr w:type="gramStart"/>
      <w:r w:rsidRPr="00BA2C93"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 xml:space="preserve"> perdido” 18/06/2018 | Florencia Rovira Torres. </w:t>
      </w:r>
      <w:hyperlink r:id="rId11" w:history="1">
        <w:r w:rsidRPr="00BA2C93">
          <w:rPr>
            <w:rStyle w:val="Hipervnculo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s-AR"/>
          </w:rPr>
          <w:t>https://vientosur.info/spip.php?article13920</w:t>
        </w:r>
      </w:hyperlink>
    </w:p>
    <w:p w:rsidR="00FD5AA5" w:rsidRPr="00BA2C93" w:rsidRDefault="00FD5AA5" w:rsidP="00F30A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D5AA5" w:rsidRPr="00150AB1" w:rsidRDefault="00FD5AA5" w:rsidP="00150AB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0AB1">
        <w:rPr>
          <w:rFonts w:ascii="Times New Roman" w:hAnsi="Times New Roman" w:cs="Times New Roman"/>
          <w:sz w:val="24"/>
          <w:szCs w:val="24"/>
        </w:rPr>
        <w:t xml:space="preserve">Revista Viento Sur, Entrevista a Pierre </w:t>
      </w:r>
      <w:proofErr w:type="spellStart"/>
      <w:r w:rsidRPr="00150AB1">
        <w:rPr>
          <w:rFonts w:ascii="Times New Roman" w:hAnsi="Times New Roman" w:cs="Times New Roman"/>
          <w:sz w:val="24"/>
          <w:szCs w:val="24"/>
        </w:rPr>
        <w:t>Rousset</w:t>
      </w:r>
      <w:proofErr w:type="spellEnd"/>
      <w:r w:rsidRPr="00150AB1">
        <w:rPr>
          <w:rFonts w:ascii="Times New Roman" w:hAnsi="Times New Roman" w:cs="Times New Roman"/>
          <w:sz w:val="24"/>
          <w:szCs w:val="24"/>
        </w:rPr>
        <w:t xml:space="preserve">. "La globalización neoliberal no es una herencia de </w:t>
      </w:r>
      <w:proofErr w:type="gramStart"/>
      <w:r w:rsidRPr="00150AB1"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Pr="00150AB1">
        <w:rPr>
          <w:rFonts w:ascii="Times New Roman" w:hAnsi="Times New Roman" w:cs="Times New Roman"/>
          <w:sz w:val="24"/>
          <w:szCs w:val="24"/>
        </w:rPr>
        <w:t xml:space="preserve"> del 68, sino de nuestra derrota"</w:t>
      </w:r>
      <w:r w:rsidR="00150AB1" w:rsidRPr="00150AB1">
        <w:rPr>
          <w:rFonts w:ascii="Times New Roman" w:hAnsi="Times New Roman" w:cs="Times New Roman"/>
          <w:sz w:val="24"/>
          <w:szCs w:val="24"/>
        </w:rPr>
        <w:t xml:space="preserve"> </w:t>
      </w:r>
      <w:r w:rsidRPr="00150AB1">
        <w:rPr>
          <w:rFonts w:ascii="Times New Roman" w:hAnsi="Times New Roman" w:cs="Times New Roman"/>
          <w:sz w:val="24"/>
          <w:szCs w:val="24"/>
        </w:rPr>
        <w:t>28/07/2018 | Gladys Martínez López.</w:t>
      </w:r>
    </w:p>
    <w:p w:rsidR="00FD5AA5" w:rsidRPr="00BA2C93" w:rsidRDefault="00DA2A0C" w:rsidP="00F30A0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2" w:history="1">
        <w:r w:rsidR="00FD5AA5" w:rsidRPr="00BA2C93">
          <w:rPr>
            <w:rStyle w:val="Hipervnculo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s-AR"/>
          </w:rPr>
          <w:t>https://vientosur.info/spip.php?article14046</w:t>
        </w:r>
      </w:hyperlink>
    </w:p>
    <w:p w:rsidR="007B3045" w:rsidRDefault="007B3045" w:rsidP="00F30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58F" w:rsidRPr="0028658F" w:rsidRDefault="0028658F" w:rsidP="00F30A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58F">
        <w:rPr>
          <w:rFonts w:ascii="Times New Roman" w:hAnsi="Times New Roman" w:cs="Times New Roman"/>
          <w:sz w:val="24"/>
          <w:szCs w:val="24"/>
          <w:u w:val="single"/>
        </w:rPr>
        <w:t>Además, los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siguientes</w:t>
      </w:r>
      <w:r w:rsidRPr="0028658F">
        <w:rPr>
          <w:rFonts w:ascii="Times New Roman" w:hAnsi="Times New Roman" w:cs="Times New Roman"/>
          <w:sz w:val="24"/>
          <w:szCs w:val="24"/>
          <w:u w:val="single"/>
        </w:rPr>
        <w:t xml:space="preserve"> textos de la bibliografía obligatoria y optativa que figuran en el programa</w:t>
      </w:r>
    </w:p>
    <w:p w:rsidR="0028658F" w:rsidRDefault="0028658F" w:rsidP="0028658F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 w:rsidRPr="00443158">
        <w:rPr>
          <w:rFonts w:ascii="Arial Narrow" w:hAnsi="Arial Narrow"/>
          <w:sz w:val="24"/>
          <w:szCs w:val="24"/>
        </w:rPr>
        <w:t>-V</w:t>
      </w:r>
      <w:r>
        <w:rPr>
          <w:rFonts w:ascii="Arial Narrow" w:hAnsi="Arial Narrow"/>
          <w:sz w:val="24"/>
          <w:szCs w:val="24"/>
        </w:rPr>
        <w:t>an</w:t>
      </w:r>
      <w:r w:rsidRPr="00443158">
        <w:rPr>
          <w:rFonts w:ascii="Arial Narrow" w:hAnsi="Arial Narrow"/>
          <w:sz w:val="24"/>
          <w:szCs w:val="24"/>
        </w:rPr>
        <w:t xml:space="preserve"> D</w:t>
      </w:r>
      <w:r>
        <w:rPr>
          <w:rFonts w:ascii="Arial Narrow" w:hAnsi="Arial Narrow"/>
          <w:sz w:val="24"/>
          <w:szCs w:val="24"/>
        </w:rPr>
        <w:t>er</w:t>
      </w:r>
      <w:r w:rsidRPr="004431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3158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ee</w:t>
      </w:r>
      <w:proofErr w:type="spellEnd"/>
      <w:r w:rsidRPr="00443158">
        <w:rPr>
          <w:rFonts w:ascii="Arial Narrow" w:hAnsi="Arial Narrow"/>
          <w:sz w:val="24"/>
          <w:szCs w:val="24"/>
        </w:rPr>
        <w:t>, H</w:t>
      </w:r>
      <w:r>
        <w:rPr>
          <w:rFonts w:ascii="Arial Narrow" w:hAnsi="Arial Narrow"/>
          <w:sz w:val="24"/>
          <w:szCs w:val="24"/>
        </w:rPr>
        <w:t>. (1986</w:t>
      </w:r>
      <w:r w:rsidRPr="00306990">
        <w:rPr>
          <w:rFonts w:ascii="Arial Narrow" w:hAnsi="Arial Narrow"/>
          <w:sz w:val="24"/>
          <w:szCs w:val="24"/>
        </w:rPr>
        <w:t>). “El advenimiento de la economía mixta”, “Objeciones a la economía mixta”, “La liberalización del comercio internacional después de la Segunda Guerra Mundial” y “El camino hacia un nuevo orden económico mundial”. En</w:t>
      </w:r>
      <w:r w:rsidRPr="00443158">
        <w:rPr>
          <w:rFonts w:ascii="Arial Narrow" w:hAnsi="Arial Narrow"/>
          <w:sz w:val="24"/>
          <w:szCs w:val="24"/>
        </w:rPr>
        <w:t xml:space="preserve"> </w:t>
      </w:r>
      <w:r w:rsidRPr="00443158">
        <w:rPr>
          <w:rFonts w:ascii="Arial Narrow" w:hAnsi="Arial Narrow"/>
          <w:i/>
          <w:iCs/>
          <w:sz w:val="24"/>
          <w:szCs w:val="24"/>
        </w:rPr>
        <w:t>Historia económica mundial. Prosperidad y crisis. 1945-1980</w:t>
      </w:r>
      <w:r>
        <w:rPr>
          <w:rFonts w:ascii="Arial Narrow" w:hAnsi="Arial Narrow"/>
          <w:sz w:val="24"/>
          <w:szCs w:val="24"/>
        </w:rPr>
        <w:t xml:space="preserve">. </w:t>
      </w:r>
      <w:r w:rsidRPr="00443158">
        <w:rPr>
          <w:rFonts w:ascii="Arial Narrow" w:hAnsi="Arial Narrow"/>
          <w:sz w:val="24"/>
          <w:szCs w:val="24"/>
        </w:rPr>
        <w:t>Barcelona</w:t>
      </w:r>
      <w:r>
        <w:rPr>
          <w:rFonts w:ascii="Arial Narrow" w:hAnsi="Arial Narrow"/>
          <w:sz w:val="24"/>
          <w:szCs w:val="24"/>
        </w:rPr>
        <w:t>: Crítica</w:t>
      </w:r>
      <w:r w:rsidRPr="00443158">
        <w:rPr>
          <w:rFonts w:ascii="Arial Narrow" w:hAnsi="Arial Narrow"/>
          <w:sz w:val="24"/>
          <w:szCs w:val="24"/>
        </w:rPr>
        <w:t>.</w:t>
      </w:r>
    </w:p>
    <w:p w:rsidR="0028658F" w:rsidRDefault="0028658F" w:rsidP="0028658F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Heffer</w:t>
      </w:r>
      <w:proofErr w:type="spellEnd"/>
      <w:r>
        <w:rPr>
          <w:rFonts w:ascii="Arial Narrow" w:hAnsi="Arial Narrow"/>
          <w:sz w:val="24"/>
          <w:szCs w:val="24"/>
        </w:rPr>
        <w:t xml:space="preserve">, J. y </w:t>
      </w:r>
      <w:proofErr w:type="spellStart"/>
      <w:r>
        <w:rPr>
          <w:rFonts w:ascii="Arial Narrow" w:hAnsi="Arial Narrow"/>
          <w:sz w:val="24"/>
          <w:szCs w:val="24"/>
        </w:rPr>
        <w:t>Launay</w:t>
      </w:r>
      <w:proofErr w:type="spellEnd"/>
      <w:r>
        <w:rPr>
          <w:rFonts w:ascii="Arial Narrow" w:hAnsi="Arial Narrow"/>
          <w:sz w:val="24"/>
          <w:szCs w:val="24"/>
        </w:rPr>
        <w:t xml:space="preserve">, M. (1992) “Las relaciones internacionales” en </w:t>
      </w:r>
      <w:r w:rsidRPr="00055D09">
        <w:rPr>
          <w:rFonts w:ascii="Arial Narrow" w:hAnsi="Arial Narrow"/>
          <w:i/>
          <w:sz w:val="24"/>
          <w:szCs w:val="24"/>
        </w:rPr>
        <w:t>La guerra Fría</w:t>
      </w:r>
      <w:r>
        <w:rPr>
          <w:rFonts w:ascii="Arial Narrow" w:hAnsi="Arial Narrow"/>
          <w:sz w:val="24"/>
          <w:szCs w:val="24"/>
        </w:rPr>
        <w:t xml:space="preserve">, 1945-1972, Madrid, Akal </w:t>
      </w:r>
    </w:p>
    <w:p w:rsidR="0028658F" w:rsidRPr="00443158" w:rsidRDefault="0028658F" w:rsidP="0028658F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Loth</w:t>
      </w:r>
      <w:proofErr w:type="spellEnd"/>
      <w:r w:rsidRPr="0044315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W. (1986). </w:t>
      </w:r>
      <w:r w:rsidRPr="00306990">
        <w:rPr>
          <w:rFonts w:ascii="Arial Narrow" w:hAnsi="Arial Narrow"/>
          <w:sz w:val="24"/>
          <w:szCs w:val="24"/>
        </w:rPr>
        <w:t>“Europa después de 1945: la formación de los bloques”</w:t>
      </w:r>
      <w:r>
        <w:rPr>
          <w:rFonts w:ascii="Arial Narrow" w:hAnsi="Arial Narrow"/>
          <w:sz w:val="24"/>
          <w:szCs w:val="24"/>
        </w:rPr>
        <w:t>.</w:t>
      </w:r>
      <w:r w:rsidRPr="003069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443158">
        <w:rPr>
          <w:rFonts w:ascii="Arial Narrow" w:hAnsi="Arial Narrow"/>
          <w:sz w:val="24"/>
          <w:szCs w:val="24"/>
        </w:rPr>
        <w:t xml:space="preserve">n </w:t>
      </w:r>
      <w:proofErr w:type="spellStart"/>
      <w:proofErr w:type="gramStart"/>
      <w:r w:rsidRPr="00443158">
        <w:rPr>
          <w:rFonts w:ascii="Arial Narrow" w:hAnsi="Arial Narrow"/>
          <w:sz w:val="24"/>
          <w:szCs w:val="24"/>
        </w:rPr>
        <w:t>Benz,W</w:t>
      </w:r>
      <w:proofErr w:type="spellEnd"/>
      <w:r w:rsidRPr="00443158">
        <w:rPr>
          <w:rFonts w:ascii="Arial Narrow" w:hAnsi="Arial Narrow"/>
          <w:sz w:val="24"/>
          <w:szCs w:val="24"/>
        </w:rPr>
        <w:t>.</w:t>
      </w:r>
      <w:proofErr w:type="gramEnd"/>
      <w:r w:rsidRPr="0044315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43158">
        <w:rPr>
          <w:rFonts w:ascii="Arial Narrow" w:hAnsi="Arial Narrow"/>
          <w:sz w:val="24"/>
          <w:szCs w:val="24"/>
        </w:rPr>
        <w:t>Graml</w:t>
      </w:r>
      <w:proofErr w:type="spellEnd"/>
      <w:r w:rsidRPr="00443158">
        <w:rPr>
          <w:rFonts w:ascii="Arial Narrow" w:hAnsi="Arial Narrow"/>
          <w:sz w:val="24"/>
          <w:szCs w:val="24"/>
        </w:rPr>
        <w:t xml:space="preserve">, H. </w:t>
      </w:r>
      <w:r w:rsidRPr="00443158">
        <w:rPr>
          <w:rFonts w:ascii="Arial Narrow" w:hAnsi="Arial Narrow"/>
          <w:i/>
          <w:iCs/>
          <w:sz w:val="24"/>
          <w:szCs w:val="24"/>
        </w:rPr>
        <w:t>El Siglo XX. Europa después de la Segunda Guerra Mundial</w:t>
      </w:r>
      <w:r w:rsidRPr="00443158">
        <w:rPr>
          <w:rFonts w:ascii="Arial Narrow" w:hAnsi="Arial Narrow"/>
          <w:sz w:val="24"/>
          <w:szCs w:val="24"/>
        </w:rPr>
        <w:t xml:space="preserve">, </w:t>
      </w:r>
      <w:r w:rsidRPr="00443158">
        <w:rPr>
          <w:rFonts w:ascii="Arial Narrow" w:hAnsi="Arial Narrow"/>
          <w:i/>
          <w:iCs/>
          <w:sz w:val="24"/>
          <w:szCs w:val="24"/>
        </w:rPr>
        <w:t>1945-1982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>(cap. I)</w:t>
      </w:r>
      <w:r w:rsidRPr="00443158">
        <w:rPr>
          <w:rFonts w:ascii="Arial Narrow" w:hAnsi="Arial Narrow"/>
          <w:sz w:val="24"/>
          <w:szCs w:val="24"/>
        </w:rPr>
        <w:t>, Historia Universal</w:t>
      </w:r>
      <w:r>
        <w:rPr>
          <w:rFonts w:ascii="Arial Narrow" w:hAnsi="Arial Narrow"/>
          <w:sz w:val="24"/>
          <w:szCs w:val="24"/>
        </w:rPr>
        <w:t xml:space="preserve"> (</w:t>
      </w:r>
      <w:r w:rsidRPr="00443158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. </w:t>
      </w:r>
      <w:r w:rsidRPr="00443158">
        <w:rPr>
          <w:rFonts w:ascii="Arial Narrow" w:hAnsi="Arial Narrow"/>
          <w:sz w:val="24"/>
          <w:szCs w:val="24"/>
        </w:rPr>
        <w:t>35/1</w:t>
      </w:r>
      <w:r>
        <w:rPr>
          <w:rFonts w:ascii="Arial Narrow" w:hAnsi="Arial Narrow"/>
          <w:sz w:val="24"/>
          <w:szCs w:val="24"/>
        </w:rPr>
        <w:t>).</w:t>
      </w:r>
      <w:r w:rsidRPr="00443158">
        <w:rPr>
          <w:rFonts w:ascii="Arial Narrow" w:hAnsi="Arial Narrow"/>
          <w:sz w:val="24"/>
          <w:szCs w:val="24"/>
        </w:rPr>
        <w:t xml:space="preserve"> México</w:t>
      </w:r>
      <w:r>
        <w:rPr>
          <w:rFonts w:ascii="Arial Narrow" w:hAnsi="Arial Narrow"/>
          <w:sz w:val="24"/>
          <w:szCs w:val="24"/>
        </w:rPr>
        <w:t>: Siglo XXI</w:t>
      </w:r>
      <w:r w:rsidRPr="00443158">
        <w:rPr>
          <w:rFonts w:ascii="Arial Narrow" w:hAnsi="Arial Narrow"/>
          <w:sz w:val="24"/>
          <w:szCs w:val="24"/>
        </w:rPr>
        <w:t>.</w:t>
      </w:r>
    </w:p>
    <w:p w:rsidR="0028658F" w:rsidRPr="00443158" w:rsidRDefault="0028658F" w:rsidP="00150AB1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-Hobsbawm</w:t>
      </w:r>
      <w:r w:rsidRPr="00443158">
        <w:rPr>
          <w:rFonts w:ascii="Arial Narrow" w:hAnsi="Arial Narrow"/>
          <w:sz w:val="24"/>
          <w:szCs w:val="24"/>
        </w:rPr>
        <w:t>, E.</w:t>
      </w:r>
      <w:r>
        <w:rPr>
          <w:rFonts w:ascii="Arial Narrow" w:hAnsi="Arial Narrow"/>
          <w:sz w:val="24"/>
          <w:szCs w:val="24"/>
        </w:rPr>
        <w:t xml:space="preserve"> (1995).</w:t>
      </w:r>
      <w:r w:rsidRPr="004431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</w:t>
      </w:r>
      <w:r w:rsidRPr="00306990">
        <w:rPr>
          <w:rFonts w:ascii="Arial Narrow" w:hAnsi="Arial Narrow"/>
          <w:sz w:val="24"/>
          <w:szCs w:val="24"/>
        </w:rPr>
        <w:t>La Guerra Fría”. En</w:t>
      </w:r>
      <w:r w:rsidRPr="00443158">
        <w:rPr>
          <w:rFonts w:ascii="Arial Narrow" w:hAnsi="Arial Narrow"/>
          <w:sz w:val="24"/>
          <w:szCs w:val="24"/>
        </w:rPr>
        <w:t xml:space="preserve"> </w:t>
      </w:r>
      <w:r w:rsidRPr="00443158">
        <w:rPr>
          <w:rFonts w:ascii="Arial Narrow" w:hAnsi="Arial Narrow"/>
          <w:i/>
          <w:iCs/>
          <w:sz w:val="24"/>
          <w:szCs w:val="24"/>
        </w:rPr>
        <w:t>Historia del Siglo XX</w:t>
      </w:r>
      <w:r>
        <w:rPr>
          <w:rFonts w:ascii="Arial Narrow" w:hAnsi="Arial Narrow"/>
          <w:sz w:val="24"/>
          <w:szCs w:val="24"/>
        </w:rPr>
        <w:t>. Barcelona: Crítica.</w:t>
      </w:r>
    </w:p>
    <w:p w:rsidR="0028658F" w:rsidRPr="00443158" w:rsidRDefault="0028658F" w:rsidP="0028658F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443158">
        <w:rPr>
          <w:rFonts w:ascii="Arial Narrow" w:hAnsi="Arial Narrow"/>
          <w:sz w:val="24"/>
          <w:szCs w:val="24"/>
        </w:rPr>
        <w:t>-H</w:t>
      </w:r>
      <w:r>
        <w:rPr>
          <w:rFonts w:ascii="Arial Narrow" w:hAnsi="Arial Narrow"/>
          <w:sz w:val="24"/>
          <w:szCs w:val="24"/>
        </w:rPr>
        <w:t>obsbawm</w:t>
      </w:r>
      <w:r w:rsidRPr="00443158">
        <w:rPr>
          <w:rFonts w:ascii="Arial Narrow" w:hAnsi="Arial Narrow"/>
          <w:sz w:val="24"/>
          <w:szCs w:val="24"/>
        </w:rPr>
        <w:t>, E.</w:t>
      </w:r>
      <w:r>
        <w:rPr>
          <w:rFonts w:ascii="Arial Narrow" w:hAnsi="Arial Narrow"/>
          <w:sz w:val="24"/>
          <w:szCs w:val="24"/>
        </w:rPr>
        <w:t xml:space="preserve"> (</w:t>
      </w:r>
      <w:r w:rsidRPr="00A00BF9">
        <w:rPr>
          <w:rFonts w:ascii="Arial Narrow" w:hAnsi="Arial Narrow"/>
          <w:sz w:val="24"/>
          <w:szCs w:val="24"/>
        </w:rPr>
        <w:t>1995). “El final del socialismo”. En</w:t>
      </w:r>
      <w:r w:rsidRPr="00443158">
        <w:rPr>
          <w:rFonts w:ascii="Arial Narrow" w:hAnsi="Arial Narrow"/>
          <w:sz w:val="24"/>
          <w:szCs w:val="24"/>
        </w:rPr>
        <w:t xml:space="preserve"> </w:t>
      </w:r>
      <w:r w:rsidRPr="00443158">
        <w:rPr>
          <w:rFonts w:ascii="Arial Narrow" w:hAnsi="Arial Narrow"/>
          <w:i/>
          <w:iCs/>
          <w:sz w:val="24"/>
          <w:szCs w:val="24"/>
        </w:rPr>
        <w:t>Historia del Siglo XX</w:t>
      </w:r>
      <w:r>
        <w:rPr>
          <w:rFonts w:ascii="Arial Narrow" w:hAnsi="Arial Narrow"/>
          <w:sz w:val="24"/>
          <w:szCs w:val="24"/>
        </w:rPr>
        <w:t>. Barcelona: Crítica</w:t>
      </w:r>
      <w:r w:rsidRPr="00443158">
        <w:rPr>
          <w:rFonts w:ascii="Arial Narrow" w:hAnsi="Arial Narrow"/>
          <w:sz w:val="24"/>
          <w:szCs w:val="24"/>
        </w:rPr>
        <w:t xml:space="preserve">. </w:t>
      </w:r>
    </w:p>
    <w:p w:rsidR="0028658F" w:rsidRPr="00443158" w:rsidRDefault="0028658F" w:rsidP="0028658F">
      <w:pPr>
        <w:spacing w:before="100" w:beforeAutospacing="1" w:after="100" w:afterAutospacing="1"/>
        <w:ind w:right="-1"/>
        <w:jc w:val="both"/>
        <w:rPr>
          <w:rFonts w:ascii="Arial Narrow" w:hAnsi="Arial Narrow"/>
          <w:sz w:val="24"/>
          <w:szCs w:val="24"/>
        </w:rPr>
      </w:pPr>
      <w:r w:rsidRPr="00443158">
        <w:rPr>
          <w:rFonts w:ascii="Arial Narrow" w:hAnsi="Arial Narrow"/>
          <w:sz w:val="24"/>
          <w:szCs w:val="24"/>
        </w:rPr>
        <w:t>-M</w:t>
      </w:r>
      <w:r>
        <w:rPr>
          <w:rFonts w:ascii="Arial Narrow" w:hAnsi="Arial Narrow"/>
          <w:sz w:val="24"/>
          <w:szCs w:val="24"/>
        </w:rPr>
        <w:t>aier</w:t>
      </w:r>
      <w:r w:rsidRPr="0044315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443158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h. (1992)</w:t>
      </w:r>
      <w:r w:rsidRPr="00443158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“</w:t>
      </w:r>
      <w:r w:rsidRPr="00A00BF9">
        <w:rPr>
          <w:rFonts w:ascii="Arial Narrow" w:hAnsi="Arial Narrow"/>
          <w:sz w:val="24"/>
          <w:szCs w:val="24"/>
        </w:rPr>
        <w:t>El colapso del comunismo: elementos para una historia futura”</w:t>
      </w:r>
      <w:r>
        <w:rPr>
          <w:rFonts w:ascii="Arial Narrow" w:hAnsi="Arial Narrow"/>
          <w:sz w:val="24"/>
          <w:szCs w:val="24"/>
        </w:rPr>
        <w:t>.</w:t>
      </w:r>
      <w:r w:rsidRPr="004431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443158">
        <w:rPr>
          <w:rFonts w:ascii="Arial Narrow" w:hAnsi="Arial Narrow"/>
          <w:sz w:val="24"/>
          <w:szCs w:val="24"/>
        </w:rPr>
        <w:t xml:space="preserve">n </w:t>
      </w:r>
      <w:proofErr w:type="spellStart"/>
      <w:r w:rsidRPr="00443158">
        <w:rPr>
          <w:rFonts w:ascii="Arial Narrow" w:hAnsi="Arial Narrow"/>
          <w:i/>
          <w:iCs/>
          <w:sz w:val="24"/>
          <w:szCs w:val="24"/>
        </w:rPr>
        <w:t>Debats</w:t>
      </w:r>
      <w:proofErr w:type="spellEnd"/>
      <w:r w:rsidRPr="00A00BF9">
        <w:rPr>
          <w:rFonts w:ascii="Arial Narrow" w:hAnsi="Arial Narrow"/>
          <w:iCs/>
          <w:sz w:val="24"/>
          <w:szCs w:val="24"/>
        </w:rPr>
        <w:t>,</w:t>
      </w:r>
      <w:r>
        <w:rPr>
          <w:rFonts w:ascii="Arial Narrow" w:hAnsi="Arial Narrow"/>
          <w:iCs/>
          <w:sz w:val="24"/>
          <w:szCs w:val="24"/>
        </w:rPr>
        <w:t xml:space="preserve"> Nº40</w:t>
      </w:r>
      <w:r>
        <w:rPr>
          <w:rFonts w:ascii="Arial Narrow" w:hAnsi="Arial Narrow"/>
          <w:sz w:val="24"/>
          <w:szCs w:val="24"/>
        </w:rPr>
        <w:t>.</w:t>
      </w:r>
    </w:p>
    <w:p w:rsidR="00BF6B47" w:rsidRPr="00BA2C93" w:rsidRDefault="00BF6B47" w:rsidP="00F30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A2C93">
        <w:rPr>
          <w:rFonts w:ascii="Times New Roman" w:hAnsi="Times New Roman" w:cs="Times New Roman"/>
          <w:color w:val="auto"/>
          <w:sz w:val="24"/>
          <w:szCs w:val="24"/>
          <w:u w:val="single"/>
        </w:rPr>
        <w:t>Aspectos formales</w:t>
      </w:r>
    </w:p>
    <w:p w:rsidR="00BF6B47" w:rsidRPr="00BA2C93" w:rsidRDefault="00BF6B47" w:rsidP="00BF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El desarrollo del trabajo constará de no más de diez carillas (sin contar carátula, bibliografía y otros) a 1,5 interlineado, justificado y letra tamaño 12.</w:t>
      </w:r>
    </w:p>
    <w:p w:rsidR="00BF6B47" w:rsidRPr="00BA2C93" w:rsidRDefault="00BF6B47" w:rsidP="00BF6B4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834233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lastRenderedPageBreak/>
        <w:t>Además,</w:t>
      </w:r>
      <w:r w:rsidR="00BF6B47" w:rsidRPr="00BA2C93">
        <w:rPr>
          <w:rFonts w:ascii="Times New Roman" w:hAnsi="Times New Roman" w:cs="Times New Roman"/>
          <w:sz w:val="24"/>
          <w:szCs w:val="24"/>
        </w:rPr>
        <w:t xml:space="preserve"> se deberá incluir:</w:t>
      </w:r>
    </w:p>
    <w:p w:rsidR="00BF6B47" w:rsidRPr="00BA2C93" w:rsidRDefault="00BF6B47" w:rsidP="00BF6B4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pStyle w:val="Ttulo3"/>
        <w:keepLines w:val="0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C93">
        <w:rPr>
          <w:rFonts w:ascii="Times New Roman" w:hAnsi="Times New Roman"/>
        </w:rPr>
        <w:t xml:space="preserve">Una </w:t>
      </w:r>
      <w:r w:rsidRPr="00BA2C93">
        <w:rPr>
          <w:rFonts w:ascii="Times New Roman" w:hAnsi="Times New Roman"/>
          <w:b/>
        </w:rPr>
        <w:t>carátula</w:t>
      </w:r>
      <w:r w:rsidRPr="00BA2C93">
        <w:rPr>
          <w:rFonts w:ascii="Times New Roman" w:hAnsi="Times New Roman"/>
        </w:rPr>
        <w:t xml:space="preserve"> en la cual consten los siguientes datos:</w:t>
      </w:r>
    </w:p>
    <w:p w:rsidR="00BF6B47" w:rsidRPr="00BA2C93" w:rsidRDefault="00BF6B47" w:rsidP="00BF6B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-Título del trabajo</w:t>
      </w:r>
    </w:p>
    <w:p w:rsidR="00BF6B47" w:rsidRPr="00BA2C93" w:rsidRDefault="00BF6B47" w:rsidP="00BF6B47">
      <w:pPr>
        <w:pStyle w:val="Ttulo2"/>
        <w:tabs>
          <w:tab w:val="left" w:pos="28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A2C93">
        <w:rPr>
          <w:b/>
          <w:sz w:val="24"/>
          <w:szCs w:val="24"/>
        </w:rPr>
        <w:t>-Nombre de la materia y cátedra</w:t>
      </w:r>
    </w:p>
    <w:p w:rsidR="00BF6B47" w:rsidRPr="00BA2C93" w:rsidRDefault="00BF6B47" w:rsidP="00BF6B47">
      <w:pPr>
        <w:pStyle w:val="Ttulo2"/>
        <w:tabs>
          <w:tab w:val="left" w:pos="284"/>
        </w:tabs>
        <w:spacing w:before="0"/>
        <w:rPr>
          <w:b/>
          <w:sz w:val="24"/>
          <w:szCs w:val="24"/>
        </w:rPr>
      </w:pPr>
      <w:r w:rsidRPr="00BA2C93">
        <w:rPr>
          <w:b/>
          <w:sz w:val="24"/>
          <w:szCs w:val="24"/>
        </w:rPr>
        <w:t>-Apellido y Nombre del alumno</w:t>
      </w:r>
    </w:p>
    <w:p w:rsidR="00BF6B47" w:rsidRPr="00BA2C93" w:rsidRDefault="00BF6B47" w:rsidP="00BF6B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-Día y horario de la Comisión</w:t>
      </w:r>
    </w:p>
    <w:p w:rsidR="00BF6B47" w:rsidRPr="00BA2C93" w:rsidRDefault="00BF6B47" w:rsidP="00BF6B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-Cuatrimestre y año de la cursada</w:t>
      </w:r>
    </w:p>
    <w:p w:rsidR="00BF6B47" w:rsidRPr="00BA2C93" w:rsidRDefault="00BF6B47" w:rsidP="00BF6B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 de documento</w:t>
      </w:r>
    </w:p>
    <w:p w:rsidR="00BF6B47" w:rsidRPr="00BA2C93" w:rsidRDefault="00BF6B47" w:rsidP="00BF6B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pStyle w:val="Ttulo4"/>
        <w:keepLines w:val="0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/>
          <w:sz w:val="24"/>
          <w:szCs w:val="24"/>
        </w:rPr>
        <w:t xml:space="preserve">Un </w:t>
      </w:r>
      <w:r w:rsidRPr="00BA2C93">
        <w:rPr>
          <w:rFonts w:ascii="Times New Roman" w:hAnsi="Times New Roman"/>
          <w:b/>
          <w:sz w:val="24"/>
          <w:szCs w:val="24"/>
        </w:rPr>
        <w:t>Índice</w:t>
      </w:r>
      <w:r w:rsidRPr="00BA2C93">
        <w:rPr>
          <w:rFonts w:ascii="Times New Roman" w:hAnsi="Times New Roman"/>
          <w:sz w:val="24"/>
          <w:szCs w:val="24"/>
        </w:rPr>
        <w:t xml:space="preserve"> que refleje el Plan de Trabajo seguido por el alumno</w:t>
      </w:r>
    </w:p>
    <w:p w:rsidR="00BF6B47" w:rsidRPr="00BA2C93" w:rsidRDefault="00BF6B47" w:rsidP="00BF6B47">
      <w:pPr>
        <w:spacing w:after="0"/>
      </w:pPr>
    </w:p>
    <w:p w:rsidR="00BF6B47" w:rsidRPr="00BA2C93" w:rsidRDefault="00BF6B47" w:rsidP="00BF6B47">
      <w:pPr>
        <w:pStyle w:val="Sangradetexto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A2C93">
        <w:rPr>
          <w:rFonts w:ascii="Times New Roman" w:hAnsi="Times New Roman" w:cs="Times New Roman"/>
          <w:szCs w:val="24"/>
        </w:rPr>
        <w:t xml:space="preserve">La </w:t>
      </w:r>
      <w:r w:rsidRPr="00BA2C93">
        <w:rPr>
          <w:rFonts w:ascii="Times New Roman" w:hAnsi="Times New Roman" w:cs="Times New Roman"/>
          <w:b/>
          <w:szCs w:val="24"/>
        </w:rPr>
        <w:t>Bibliografía</w:t>
      </w:r>
      <w:r w:rsidRPr="00BA2C93">
        <w:rPr>
          <w:rFonts w:ascii="Times New Roman" w:hAnsi="Times New Roman" w:cs="Times New Roman"/>
          <w:szCs w:val="24"/>
        </w:rPr>
        <w:t xml:space="preserve"> utilizada para la realización del trabajo correctamente citada</w:t>
      </w:r>
      <w:r w:rsidR="0006508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65085">
        <w:rPr>
          <w:rFonts w:ascii="Times New Roman" w:hAnsi="Times New Roman" w:cs="Times New Roman"/>
          <w:szCs w:val="24"/>
        </w:rPr>
        <w:t>de acuerdo a</w:t>
      </w:r>
      <w:proofErr w:type="gramEnd"/>
      <w:r w:rsidR="00065085">
        <w:rPr>
          <w:rFonts w:ascii="Times New Roman" w:hAnsi="Times New Roman" w:cs="Times New Roman"/>
          <w:szCs w:val="24"/>
        </w:rPr>
        <w:t xml:space="preserve"> las normas APA</w:t>
      </w:r>
      <w:r w:rsidRPr="00BA2C93">
        <w:rPr>
          <w:rFonts w:ascii="Times New Roman" w:hAnsi="Times New Roman" w:cs="Times New Roman"/>
          <w:szCs w:val="24"/>
        </w:rPr>
        <w:t xml:space="preserve"> (tomar como modelo la forma en que está citada la bibliografía en el programa).</w:t>
      </w:r>
    </w:p>
    <w:p w:rsidR="00BF6B47" w:rsidRPr="00BA2C93" w:rsidRDefault="00BF6B47" w:rsidP="00BF6B47">
      <w:pPr>
        <w:pStyle w:val="Sangradetextonormal"/>
        <w:tabs>
          <w:tab w:val="left" w:pos="284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Se podrán utilizar citas textuales o síntesis analíticas de la bibliografía consultada (obligatoria y optativa), pero se deberá cuidar que éstas no constituyan largas transcripciones. La cátedra evaluará la producción del alumno y no la de otros autores. Toda cita deberá tener su correspondiente referencia: nota a pie de página, con el autor, nombre de la obra y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 de página en donde figura ese texto o esa idea. </w:t>
      </w: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85" w:rsidRDefault="00065085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páginas deben estar numeradas</w:t>
      </w:r>
    </w:p>
    <w:p w:rsidR="00065085" w:rsidRDefault="00065085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El trabajo que no contemple esos aspectos </w:t>
      </w:r>
      <w:proofErr w:type="gramStart"/>
      <w:r w:rsidRPr="00BA2C93">
        <w:rPr>
          <w:rFonts w:ascii="Times New Roman" w:hAnsi="Times New Roman" w:cs="Times New Roman"/>
          <w:sz w:val="24"/>
          <w:szCs w:val="24"/>
        </w:rPr>
        <w:t>formales,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 xml:space="preserve"> tenga faltas de ortografía y/o abundantes errores de tipeo no podrá ser evaluado. </w:t>
      </w:r>
      <w:proofErr w:type="gramStart"/>
      <w:r w:rsidRPr="00BA2C93">
        <w:rPr>
          <w:rFonts w:ascii="Times New Roman" w:hAnsi="Times New Roman" w:cs="Times New Roman"/>
          <w:sz w:val="24"/>
          <w:szCs w:val="24"/>
        </w:rPr>
        <w:t>Recordar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 xml:space="preserve"> que los acentos y las ‘ñ’ forman parte de nuestro idioma. </w:t>
      </w: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>Como todo trabajo monográfico, es imprescindible comenzar con una breve introducción (no más de una hoja) que explique el camino que se seguirá en el trabajo</w:t>
      </w:r>
      <w:r w:rsidR="00065085">
        <w:rPr>
          <w:rFonts w:ascii="Times New Roman" w:hAnsi="Times New Roman" w:cs="Times New Roman"/>
          <w:sz w:val="24"/>
          <w:szCs w:val="24"/>
        </w:rPr>
        <w:t xml:space="preserve">, los temas/aspectos que se van a </w:t>
      </w:r>
      <w:proofErr w:type="gramStart"/>
      <w:r w:rsidR="00065085">
        <w:rPr>
          <w:rFonts w:ascii="Times New Roman" w:hAnsi="Times New Roman" w:cs="Times New Roman"/>
          <w:sz w:val="24"/>
          <w:szCs w:val="24"/>
        </w:rPr>
        <w:t>analizar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 xml:space="preserve"> así como la justificación de</w:t>
      </w:r>
      <w:r w:rsidR="00065085">
        <w:rPr>
          <w:rFonts w:ascii="Times New Roman" w:hAnsi="Times New Roman" w:cs="Times New Roman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>l</w:t>
      </w:r>
      <w:r w:rsidR="00065085">
        <w:rPr>
          <w:rFonts w:ascii="Times New Roman" w:hAnsi="Times New Roman" w:cs="Times New Roman"/>
          <w:sz w:val="24"/>
          <w:szCs w:val="24"/>
        </w:rPr>
        <w:t>os</w:t>
      </w:r>
      <w:r w:rsidRPr="00BA2C93">
        <w:rPr>
          <w:rFonts w:ascii="Times New Roman" w:hAnsi="Times New Roman" w:cs="Times New Roman"/>
          <w:sz w:val="24"/>
          <w:szCs w:val="24"/>
        </w:rPr>
        <w:t xml:space="preserve"> mismo</w:t>
      </w:r>
      <w:r w:rsidR="00065085">
        <w:rPr>
          <w:rFonts w:ascii="Times New Roman" w:hAnsi="Times New Roman" w:cs="Times New Roman"/>
          <w:sz w:val="24"/>
          <w:szCs w:val="24"/>
        </w:rPr>
        <w:t>s</w:t>
      </w:r>
      <w:r w:rsidRPr="00BA2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B47" w:rsidRPr="00BA2C93" w:rsidRDefault="00BF6B47" w:rsidP="00BF6B47">
      <w:pPr>
        <w:pStyle w:val="Sangra2detindependiente"/>
        <w:tabs>
          <w:tab w:val="left" w:pos="284"/>
        </w:tabs>
        <w:ind w:left="0"/>
        <w:jc w:val="both"/>
        <w:rPr>
          <w:rFonts w:ascii="Times New Roman" w:hAnsi="Times New Roman" w:cs="Times New Roman"/>
          <w:szCs w:val="24"/>
          <w:lang w:val="es-AR"/>
        </w:rPr>
      </w:pPr>
    </w:p>
    <w:p w:rsidR="00BF6B47" w:rsidRPr="00BA2C93" w:rsidRDefault="00BF6B47" w:rsidP="00BF6B47">
      <w:pPr>
        <w:pStyle w:val="Sangra2detindependiente"/>
        <w:tabs>
          <w:tab w:val="left" w:pos="284"/>
        </w:tabs>
        <w:ind w:left="0"/>
        <w:jc w:val="both"/>
        <w:rPr>
          <w:rFonts w:ascii="Times New Roman" w:hAnsi="Times New Roman" w:cs="Times New Roman"/>
          <w:szCs w:val="24"/>
        </w:rPr>
      </w:pPr>
      <w:r w:rsidRPr="00BA2C93">
        <w:rPr>
          <w:rFonts w:ascii="Times New Roman" w:hAnsi="Times New Roman" w:cs="Times New Roman"/>
          <w:szCs w:val="24"/>
        </w:rPr>
        <w:t xml:space="preserve">La entrega del trabajo no es personal y sólo se realizará en la fecha y horario acordados. </w:t>
      </w:r>
    </w:p>
    <w:p w:rsidR="00BF6B47" w:rsidRPr="00BA2C93" w:rsidRDefault="00BF6B47" w:rsidP="00BF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47" w:rsidRPr="00BA2C93" w:rsidRDefault="00BF6B47" w:rsidP="00BF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b/>
          <w:sz w:val="24"/>
          <w:szCs w:val="24"/>
        </w:rPr>
        <w:t>Evaluación</w:t>
      </w:r>
    </w:p>
    <w:p w:rsidR="00BF6B47" w:rsidRPr="00BA2C93" w:rsidRDefault="00BF6B47" w:rsidP="00BF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El trabajo se entregará en la primera fecha de finales, a las 16 </w:t>
      </w:r>
      <w:proofErr w:type="spellStart"/>
      <w:proofErr w:type="gramStart"/>
      <w:r w:rsidRPr="00BA2C93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>,</w:t>
      </w:r>
      <w:r w:rsidRPr="00BA2C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2C93">
        <w:rPr>
          <w:rFonts w:ascii="Times New Roman" w:hAnsi="Times New Roman" w:cs="Times New Roman"/>
          <w:sz w:val="24"/>
          <w:szCs w:val="24"/>
        </w:rPr>
        <w:t>la entrega no es personalizada)</w:t>
      </w:r>
      <w:r w:rsidRPr="00BA2C93">
        <w:rPr>
          <w:rFonts w:ascii="Times New Roman" w:hAnsi="Times New Roman" w:cs="Times New Roman"/>
          <w:sz w:val="24"/>
          <w:szCs w:val="24"/>
        </w:rPr>
        <w:t xml:space="preserve"> La cátedra devolverá los trabajos ya evaluados en la segunda fecha de finales a las 15.30 (ambas fechas figuran en el cronograma). En caso de que el trabajo esté aprobado con una nota siete o mayor, se volcará la nota final en las planillas en ese momento. Si el trabajo está </w:t>
      </w:r>
      <w:r w:rsidRPr="00BA2C93">
        <w:rPr>
          <w:rFonts w:ascii="Times New Roman" w:hAnsi="Times New Roman" w:cs="Times New Roman"/>
          <w:sz w:val="24"/>
          <w:szCs w:val="24"/>
        </w:rPr>
        <w:t>aprobado,</w:t>
      </w:r>
      <w:r w:rsidRPr="00BA2C93">
        <w:rPr>
          <w:rFonts w:ascii="Times New Roman" w:hAnsi="Times New Roman" w:cs="Times New Roman"/>
          <w:sz w:val="24"/>
          <w:szCs w:val="24"/>
        </w:rPr>
        <w:t xml:space="preserve"> pero con una nota igual o mayor que cuatro, pero no se haya logrado un nivel que permita la promoción (nota igual o mayor que siete), el alumno podrá rehacerlo solo una vez y entregar</w:t>
      </w:r>
      <w:r w:rsidR="00380F69" w:rsidRPr="00BA2C93">
        <w:rPr>
          <w:rFonts w:ascii="Times New Roman" w:hAnsi="Times New Roman" w:cs="Times New Roman"/>
          <w:sz w:val="24"/>
          <w:szCs w:val="24"/>
        </w:rPr>
        <w:t xml:space="preserve"> la vieja y nueva versión,</w:t>
      </w:r>
      <w:r w:rsidRPr="00BA2C93">
        <w:rPr>
          <w:rFonts w:ascii="Times New Roman" w:hAnsi="Times New Roman" w:cs="Times New Roman"/>
          <w:sz w:val="24"/>
          <w:szCs w:val="24"/>
        </w:rPr>
        <w:t xml:space="preserve"> en </w:t>
      </w:r>
      <w:r w:rsidR="00380F69" w:rsidRPr="00BA2C93">
        <w:rPr>
          <w:rFonts w:ascii="Times New Roman" w:hAnsi="Times New Roman" w:cs="Times New Roman"/>
          <w:sz w:val="24"/>
          <w:szCs w:val="24"/>
        </w:rPr>
        <w:t>la primera fecha</w:t>
      </w:r>
      <w:r w:rsidRPr="00BA2C93">
        <w:rPr>
          <w:rFonts w:ascii="Times New Roman" w:hAnsi="Times New Roman" w:cs="Times New Roman"/>
          <w:sz w:val="24"/>
          <w:szCs w:val="24"/>
        </w:rPr>
        <w:t xml:space="preserve"> de finales de 2019 (suele ser a mediados de febrero)</w:t>
      </w:r>
      <w:r w:rsidRPr="00BA2C93">
        <w:rPr>
          <w:rFonts w:ascii="Times New Roman" w:hAnsi="Times New Roman" w:cs="Times New Roman"/>
          <w:sz w:val="24"/>
          <w:szCs w:val="24"/>
        </w:rPr>
        <w:t xml:space="preserve">. En este caso, el alumno figurará en las planillas como REGULAR (debiendo el final). Si el trabajo, en </w:t>
      </w:r>
      <w:r w:rsidRPr="00BA2C93">
        <w:rPr>
          <w:rFonts w:ascii="Times New Roman" w:hAnsi="Times New Roman" w:cs="Times New Roman"/>
          <w:sz w:val="24"/>
          <w:szCs w:val="24"/>
        </w:rPr>
        <w:t>esta segunda entrega</w:t>
      </w:r>
      <w:r w:rsidRPr="00BA2C93">
        <w:rPr>
          <w:rFonts w:ascii="Times New Roman" w:hAnsi="Times New Roman" w:cs="Times New Roman"/>
          <w:sz w:val="24"/>
          <w:szCs w:val="24"/>
        </w:rPr>
        <w:t>, logra el nivel esperado para la promoción, la nota se volcará en las planillas en</w:t>
      </w:r>
      <w:r w:rsidRPr="00BA2C93">
        <w:rPr>
          <w:rFonts w:ascii="Times New Roman" w:hAnsi="Times New Roman" w:cs="Times New Roman"/>
          <w:sz w:val="24"/>
          <w:szCs w:val="24"/>
        </w:rPr>
        <w:t xml:space="preserve"> ese </w:t>
      </w:r>
      <w:r w:rsidR="00380F69" w:rsidRPr="00BA2C93">
        <w:rPr>
          <w:rFonts w:ascii="Times New Roman" w:hAnsi="Times New Roman" w:cs="Times New Roman"/>
          <w:sz w:val="24"/>
          <w:szCs w:val="24"/>
        </w:rPr>
        <w:t>momento siempre</w:t>
      </w:r>
      <w:r w:rsidRPr="00BA2C93">
        <w:rPr>
          <w:rFonts w:ascii="Times New Roman" w:hAnsi="Times New Roman" w:cs="Times New Roman"/>
          <w:sz w:val="24"/>
          <w:szCs w:val="24"/>
        </w:rPr>
        <w:t xml:space="preserve"> y cuando el estudiante se haya </w:t>
      </w:r>
      <w:r w:rsidRPr="00BA2C93">
        <w:rPr>
          <w:rFonts w:ascii="Times New Roman" w:hAnsi="Times New Roman" w:cs="Times New Roman"/>
          <w:sz w:val="24"/>
          <w:szCs w:val="24"/>
        </w:rPr>
        <w:lastRenderedPageBreak/>
        <w:t>inscripto “para rendir el final”</w:t>
      </w:r>
      <w:r w:rsidRPr="00BA2C93">
        <w:rPr>
          <w:rFonts w:ascii="Times New Roman" w:hAnsi="Times New Roman" w:cs="Times New Roman"/>
          <w:sz w:val="24"/>
          <w:szCs w:val="24"/>
        </w:rPr>
        <w:t xml:space="preserve"> Si el trabajo no logra ese nivel, se perderá la posibilidad de promocionar y se deberá rendir un examen final.</w:t>
      </w:r>
    </w:p>
    <w:p w:rsidR="00BF6B47" w:rsidRPr="00DC7070" w:rsidRDefault="00BF6B47" w:rsidP="0034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t xml:space="preserve">Si el trabajo no está aprobado, </w:t>
      </w:r>
      <w:r w:rsidR="00065085">
        <w:rPr>
          <w:rFonts w:ascii="Times New Roman" w:hAnsi="Times New Roman" w:cs="Times New Roman"/>
          <w:sz w:val="24"/>
          <w:szCs w:val="24"/>
        </w:rPr>
        <w:t>se pierde la posibilidad de promoción</w:t>
      </w:r>
      <w:bookmarkStart w:id="0" w:name="_GoBack"/>
      <w:bookmarkEnd w:id="0"/>
    </w:p>
    <w:sectPr w:rsidR="00BF6B47" w:rsidRPr="00DC7070" w:rsidSect="00150AB1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0C" w:rsidRDefault="00DA2A0C" w:rsidP="006E51AF">
      <w:pPr>
        <w:spacing w:after="0" w:line="240" w:lineRule="auto"/>
      </w:pPr>
      <w:r>
        <w:separator/>
      </w:r>
    </w:p>
  </w:endnote>
  <w:endnote w:type="continuationSeparator" w:id="0">
    <w:p w:rsidR="00DA2A0C" w:rsidRDefault="00DA2A0C" w:rsidP="006E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0C" w:rsidRDefault="00DA2A0C" w:rsidP="006E51AF">
      <w:pPr>
        <w:spacing w:after="0" w:line="240" w:lineRule="auto"/>
      </w:pPr>
      <w:r>
        <w:separator/>
      </w:r>
    </w:p>
  </w:footnote>
  <w:footnote w:type="continuationSeparator" w:id="0">
    <w:p w:rsidR="00DA2A0C" w:rsidRDefault="00DA2A0C" w:rsidP="006E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45" w:rsidRPr="00386C45" w:rsidRDefault="00386C45" w:rsidP="00386C45">
    <w:pPr>
      <w:pStyle w:val="Encabezado"/>
      <w:jc w:val="right"/>
      <w:rPr>
        <w:sz w:val="24"/>
        <w:szCs w:val="24"/>
      </w:rPr>
    </w:pPr>
    <w:r w:rsidRPr="00386C45">
      <w:rPr>
        <w:sz w:val="24"/>
        <w:szCs w:val="24"/>
      </w:rPr>
      <w:t>Historia Contemporánea (cátedra Pipkin)</w:t>
    </w:r>
  </w:p>
  <w:p w:rsidR="00386C45" w:rsidRPr="00386C45" w:rsidRDefault="00386C45" w:rsidP="00386C45">
    <w:pPr>
      <w:pStyle w:val="Encabezado"/>
      <w:jc w:val="right"/>
      <w:rPr>
        <w:sz w:val="24"/>
        <w:szCs w:val="24"/>
      </w:rPr>
    </w:pPr>
    <w:r w:rsidRPr="00386C45">
      <w:rPr>
        <w:sz w:val="24"/>
        <w:szCs w:val="24"/>
      </w:rPr>
      <w:t>Segundo cuatrimestre 2018</w:t>
    </w:r>
  </w:p>
  <w:p w:rsidR="00386C45" w:rsidRDefault="00386C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402"/>
    <w:multiLevelType w:val="hybridMultilevel"/>
    <w:tmpl w:val="0E18FE9A"/>
    <w:lvl w:ilvl="0" w:tplc="7DBC055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4FDF"/>
    <w:multiLevelType w:val="hybridMultilevel"/>
    <w:tmpl w:val="ADECB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2212"/>
    <w:multiLevelType w:val="hybridMultilevel"/>
    <w:tmpl w:val="A1B88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45"/>
    <w:rsid w:val="00007A36"/>
    <w:rsid w:val="00065085"/>
    <w:rsid w:val="000A1B83"/>
    <w:rsid w:val="00121A17"/>
    <w:rsid w:val="00150AB1"/>
    <w:rsid w:val="00171EB4"/>
    <w:rsid w:val="002339CD"/>
    <w:rsid w:val="00233E6B"/>
    <w:rsid w:val="0028658F"/>
    <w:rsid w:val="00342102"/>
    <w:rsid w:val="00364AB1"/>
    <w:rsid w:val="00380F69"/>
    <w:rsid w:val="00386C45"/>
    <w:rsid w:val="00523CEE"/>
    <w:rsid w:val="00530A37"/>
    <w:rsid w:val="005F6861"/>
    <w:rsid w:val="00676F53"/>
    <w:rsid w:val="006B4C2F"/>
    <w:rsid w:val="006E51AF"/>
    <w:rsid w:val="00731E87"/>
    <w:rsid w:val="00777F67"/>
    <w:rsid w:val="007B3045"/>
    <w:rsid w:val="00834233"/>
    <w:rsid w:val="008B6552"/>
    <w:rsid w:val="00951B68"/>
    <w:rsid w:val="009663F0"/>
    <w:rsid w:val="00993AD7"/>
    <w:rsid w:val="009A55CC"/>
    <w:rsid w:val="00A34028"/>
    <w:rsid w:val="00A655D2"/>
    <w:rsid w:val="00AB6475"/>
    <w:rsid w:val="00AD717B"/>
    <w:rsid w:val="00BA2C93"/>
    <w:rsid w:val="00BA75DA"/>
    <w:rsid w:val="00BB7BF1"/>
    <w:rsid w:val="00BF2ECA"/>
    <w:rsid w:val="00BF6B47"/>
    <w:rsid w:val="00C36897"/>
    <w:rsid w:val="00C46DAD"/>
    <w:rsid w:val="00C50A03"/>
    <w:rsid w:val="00C51C0D"/>
    <w:rsid w:val="00CD122F"/>
    <w:rsid w:val="00D562BE"/>
    <w:rsid w:val="00DA2A0C"/>
    <w:rsid w:val="00DC1AC7"/>
    <w:rsid w:val="00DC7070"/>
    <w:rsid w:val="00DD05E3"/>
    <w:rsid w:val="00E81F8C"/>
    <w:rsid w:val="00E913D0"/>
    <w:rsid w:val="00EC1ACB"/>
    <w:rsid w:val="00F30A03"/>
    <w:rsid w:val="00FD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5EA5C"/>
  <w15:docId w15:val="{51B065F6-8F78-4A68-9B91-295E1CF5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5D2"/>
  </w:style>
  <w:style w:type="paragraph" w:styleId="Ttulo1">
    <w:name w:val="heading 1"/>
    <w:basedOn w:val="Normal"/>
    <w:next w:val="Normal"/>
    <w:link w:val="Ttulo1Car"/>
    <w:uiPriority w:val="9"/>
    <w:qFormat/>
    <w:rsid w:val="00BF6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6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6B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04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30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5AA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E51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51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51A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A1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45"/>
  </w:style>
  <w:style w:type="paragraph" w:styleId="Piedepgina">
    <w:name w:val="footer"/>
    <w:basedOn w:val="Normal"/>
    <w:link w:val="PiedepginaCar"/>
    <w:uiPriority w:val="99"/>
    <w:unhideWhenUsed/>
    <w:rsid w:val="0038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45"/>
  </w:style>
  <w:style w:type="character" w:customStyle="1" w:styleId="Ttulo2Car">
    <w:name w:val="Título 2 Car"/>
    <w:basedOn w:val="Fuentedeprrafopredeter"/>
    <w:link w:val="Ttulo2"/>
    <w:uiPriority w:val="9"/>
    <w:rsid w:val="00C46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F6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6B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6B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gradetextonormal">
    <w:name w:val="Body Text Indent"/>
    <w:basedOn w:val="Normal"/>
    <w:link w:val="SangradetextonormalCar"/>
    <w:semiHidden/>
    <w:unhideWhenUsed/>
    <w:rsid w:val="00BF6B47"/>
    <w:pPr>
      <w:spacing w:after="0" w:line="240" w:lineRule="auto"/>
      <w:ind w:firstLine="360"/>
    </w:pPr>
    <w:rPr>
      <w:rFonts w:eastAsiaTheme="minorEastAsia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F6B47"/>
    <w:rPr>
      <w:rFonts w:eastAsiaTheme="minorEastAsia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F6B47"/>
    <w:pPr>
      <w:spacing w:after="0" w:line="240" w:lineRule="auto"/>
      <w:ind w:left="360"/>
    </w:pPr>
    <w:rPr>
      <w:rFonts w:eastAsiaTheme="minorEastAsia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F6B47"/>
    <w:rPr>
      <w:rFonts w:eastAsiaTheme="minorEastAsia"/>
      <w:sz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50AB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1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youtube.com%2Fwatch%3Fv%3Dt42P3vbWqd4&amp;data=02%7C01%7C%7C15fc95878e394a156c1108d648128adc%7C84df9e7fe9f640afb435aaaaaaaaaaaa%7C1%7C0%7C636775641804102960&amp;sdata=%2FJfHW4Aq68o5CopmnQ8mfa35dkCP1oYE5d8UrE%2FaIaw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ntosur.info/spip.php?article14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ntosur.info/spip.php?article139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enciapolitica1ucalp.files.wordpress.com/2016/02/offe-claus-democracia-de-competencia-entre-partidos-y-eb-keynesia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GmaL5A0Lh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2A7E-D86A-45CD-B583-E7D0172D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Pipkin</dc:creator>
  <cp:keywords/>
  <dc:description/>
  <cp:lastModifiedBy>Diana Pipkin</cp:lastModifiedBy>
  <cp:revision>10</cp:revision>
  <cp:lastPrinted>2018-11-26T20:52:00Z</cp:lastPrinted>
  <dcterms:created xsi:type="dcterms:W3CDTF">2018-11-26T19:35:00Z</dcterms:created>
  <dcterms:modified xsi:type="dcterms:W3CDTF">2018-11-27T01:25:00Z</dcterms:modified>
</cp:coreProperties>
</file>