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425" w:rsidRPr="00C83425" w:rsidRDefault="00C83425" w:rsidP="00C83425">
      <w:pPr>
        <w:autoSpaceDE w:val="0"/>
        <w:autoSpaceDN w:val="0"/>
        <w:adjustRightInd w:val="0"/>
        <w:jc w:val="center"/>
        <w:rPr>
          <w:b/>
          <w:bCs/>
          <w:iCs/>
          <w:u w:val="single"/>
        </w:rPr>
      </w:pPr>
      <w:r w:rsidRPr="00C83425">
        <w:rPr>
          <w:b/>
          <w:bCs/>
          <w:iCs/>
          <w:u w:val="single"/>
        </w:rPr>
        <w:t>La primacía de la política en la Alemania nazi</w:t>
      </w:r>
    </w:p>
    <w:p w:rsidR="00C83425" w:rsidRPr="00C83425" w:rsidRDefault="00C83425" w:rsidP="00C83425">
      <w:pPr>
        <w:autoSpaceDE w:val="0"/>
        <w:autoSpaceDN w:val="0"/>
        <w:adjustRightInd w:val="0"/>
        <w:jc w:val="center"/>
        <w:rPr>
          <w:bCs/>
          <w:iCs/>
        </w:rPr>
      </w:pPr>
      <w:r w:rsidRPr="00C83425">
        <w:rPr>
          <w:bCs/>
          <w:iCs/>
        </w:rPr>
        <w:t>Propuesta de monografía, primer cuatrimestre de 2019</w:t>
      </w:r>
    </w:p>
    <w:p w:rsidR="00C83425" w:rsidRPr="00C83425" w:rsidRDefault="00C83425" w:rsidP="00C83425">
      <w:pPr>
        <w:autoSpaceDE w:val="0"/>
        <w:autoSpaceDN w:val="0"/>
        <w:adjustRightInd w:val="0"/>
        <w:jc w:val="both"/>
        <w:rPr>
          <w:bCs/>
          <w:iCs/>
        </w:rPr>
      </w:pPr>
    </w:p>
    <w:p w:rsidR="00EE6DEB" w:rsidRDefault="00EE6DEB" w:rsidP="00C83425">
      <w:pPr>
        <w:autoSpaceDE w:val="0"/>
        <w:autoSpaceDN w:val="0"/>
        <w:adjustRightInd w:val="0"/>
        <w:jc w:val="both"/>
        <w:rPr>
          <w:b/>
          <w:bCs/>
          <w:iCs/>
        </w:rPr>
      </w:pPr>
      <w:r>
        <w:rPr>
          <w:b/>
          <w:bCs/>
          <w:iCs/>
        </w:rPr>
        <w:t xml:space="preserve">Opción Nº 1: </w:t>
      </w:r>
      <w:r w:rsidR="00F52291">
        <w:rPr>
          <w:b/>
          <w:bCs/>
          <w:iCs/>
        </w:rPr>
        <w:t>El análisis de “</w:t>
      </w:r>
      <w:r w:rsidRPr="00EE6DEB">
        <w:rPr>
          <w:b/>
          <w:bCs/>
          <w:iCs/>
        </w:rPr>
        <w:t>La primacía de la política</w:t>
      </w:r>
      <w:r w:rsidR="00F52291">
        <w:rPr>
          <w:b/>
          <w:bCs/>
          <w:iCs/>
        </w:rPr>
        <w:t>” a través de</w:t>
      </w:r>
      <w:r w:rsidR="007810F3" w:rsidRPr="00DB69BA">
        <w:rPr>
          <w:b/>
          <w:bCs/>
          <w:iCs/>
        </w:rPr>
        <w:t xml:space="preserve"> las </w:t>
      </w:r>
      <w:r>
        <w:rPr>
          <w:b/>
          <w:bCs/>
          <w:iCs/>
        </w:rPr>
        <w:t xml:space="preserve"> </w:t>
      </w:r>
      <w:r w:rsidRPr="00EE6DEB">
        <w:rPr>
          <w:bCs/>
          <w:i/>
          <w:iCs/>
        </w:rPr>
        <w:t>Memorias</w:t>
      </w:r>
      <w:r>
        <w:rPr>
          <w:b/>
          <w:bCs/>
          <w:iCs/>
        </w:rPr>
        <w:t xml:space="preserve"> de </w:t>
      </w:r>
      <w:r w:rsidR="007810F3" w:rsidRPr="00DB69BA">
        <w:rPr>
          <w:b/>
          <w:bCs/>
          <w:iCs/>
        </w:rPr>
        <w:t xml:space="preserve">Albert </w:t>
      </w:r>
      <w:r w:rsidRPr="00DB69BA">
        <w:rPr>
          <w:b/>
          <w:bCs/>
          <w:iCs/>
        </w:rPr>
        <w:t>Speer</w:t>
      </w:r>
    </w:p>
    <w:p w:rsidR="00B83F25" w:rsidRDefault="00B83F25" w:rsidP="00C83425">
      <w:pPr>
        <w:autoSpaceDE w:val="0"/>
        <w:autoSpaceDN w:val="0"/>
        <w:adjustRightInd w:val="0"/>
        <w:jc w:val="both"/>
        <w:rPr>
          <w:b/>
          <w:bCs/>
          <w:iCs/>
        </w:rPr>
      </w:pPr>
    </w:p>
    <w:p w:rsidR="00920B7C" w:rsidRDefault="00920B7C" w:rsidP="00920B7C">
      <w:pPr>
        <w:autoSpaceDE w:val="0"/>
        <w:autoSpaceDN w:val="0"/>
        <w:adjustRightInd w:val="0"/>
        <w:jc w:val="both"/>
        <w:rPr>
          <w:b/>
          <w:bCs/>
          <w:iCs/>
        </w:rPr>
      </w:pPr>
    </w:p>
    <w:p w:rsidR="00C83425" w:rsidRDefault="00920B7C" w:rsidP="00C83425">
      <w:pPr>
        <w:autoSpaceDE w:val="0"/>
        <w:autoSpaceDN w:val="0"/>
        <w:adjustRightInd w:val="0"/>
        <w:jc w:val="both"/>
        <w:rPr>
          <w:bCs/>
        </w:rPr>
      </w:pPr>
      <w:r w:rsidRPr="00DB69BA">
        <w:rPr>
          <w:bCs/>
          <w:iCs/>
        </w:rPr>
        <w:t xml:space="preserve">La propuesta consiste en analizar </w:t>
      </w:r>
      <w:r w:rsidRPr="00DB69BA">
        <w:t xml:space="preserve">si en la Alemania nazi se dio una primacía de la política </w:t>
      </w:r>
      <w:r w:rsidRPr="00DB69BA">
        <w:rPr>
          <w:bCs/>
          <w:iCs/>
        </w:rPr>
        <w:t xml:space="preserve">a la luz </w:t>
      </w:r>
      <w:r w:rsidRPr="00DB69BA">
        <w:t>del debate expuesto por Kershaw</w:t>
      </w:r>
      <w:r>
        <w:t>, o,</w:t>
      </w:r>
      <w:r w:rsidRPr="00DB69BA">
        <w:t xml:space="preserve"> por el contrario, una prevalencia de los intereses de la clase dominante</w:t>
      </w:r>
      <w:r>
        <w:t>, a partir de la i</w:t>
      </w:r>
      <w:r>
        <w:t xml:space="preserve">nterpretación de </w:t>
      </w:r>
      <w:r w:rsidR="00C83425" w:rsidRPr="0063066C">
        <w:rPr>
          <w:bCs/>
          <w:iCs/>
        </w:rPr>
        <w:t xml:space="preserve">los capítulos abajo indicados de las </w:t>
      </w:r>
      <w:r w:rsidR="00C83425" w:rsidRPr="0063066C">
        <w:rPr>
          <w:i/>
        </w:rPr>
        <w:t xml:space="preserve">Memorias </w:t>
      </w:r>
      <w:r w:rsidR="00C83425" w:rsidRPr="0063066C">
        <w:t xml:space="preserve">de Speer Las memorias del arquitecto de Hitler, devenido en organizador de la producción de armamentos, constituyen una descripción “desde adentro” de la selva  </w:t>
      </w:r>
      <w:r w:rsidR="00C83425" w:rsidRPr="0063066C">
        <w:rPr>
          <w:bCs/>
        </w:rPr>
        <w:t xml:space="preserve">darwiniana de instituciones por </w:t>
      </w:r>
      <w:r w:rsidR="007810F3">
        <w:rPr>
          <w:bCs/>
        </w:rPr>
        <w:t xml:space="preserve">debajo de la voluntad de Hitler. </w:t>
      </w:r>
      <w:r w:rsidR="007810F3" w:rsidRPr="00DB69BA">
        <w:rPr>
          <w:bCs/>
        </w:rPr>
        <w:t>Permiten</w:t>
      </w:r>
      <w:r w:rsidR="00C83425" w:rsidRPr="00DB69BA">
        <w:rPr>
          <w:bCs/>
        </w:rPr>
        <w:t xml:space="preserve"> una exploración de los alcances del </w:t>
      </w:r>
      <w:r w:rsidR="00C83425" w:rsidRPr="00DB69BA">
        <w:rPr>
          <w:i/>
        </w:rPr>
        <w:t xml:space="preserve">führerprinzip, </w:t>
      </w:r>
      <w:r w:rsidR="00C83425" w:rsidRPr="00DB69BA">
        <w:t xml:space="preserve">la confusión de autoridad, </w:t>
      </w:r>
      <w:r w:rsidR="00C83425" w:rsidRPr="00DB69BA">
        <w:rPr>
          <w:bCs/>
        </w:rPr>
        <w:t xml:space="preserve">la estructura de mando ineficiente debido a la competencia interna, las relaciones cruzadas entre Hitler, el Estado nazificado, </w:t>
      </w:r>
      <w:r w:rsidR="007810F3" w:rsidRPr="00DB69BA">
        <w:rPr>
          <w:bCs/>
        </w:rPr>
        <w:t xml:space="preserve">y las relaciones cruzadas entre </w:t>
      </w:r>
      <w:r w:rsidR="00C83425" w:rsidRPr="00DB69BA">
        <w:rPr>
          <w:bCs/>
        </w:rPr>
        <w:t>el partido, el ejército y la clase dominante. El predominio de la irracionalidad megalómana y el pensamiento mítico, entre otros tópicos</w:t>
      </w:r>
      <w:r>
        <w:rPr>
          <w:bCs/>
        </w:rPr>
        <w:t>, son</w:t>
      </w:r>
      <w:r w:rsidR="00C83425" w:rsidRPr="00DB69BA">
        <w:rPr>
          <w:bCs/>
        </w:rPr>
        <w:t xml:space="preserve"> recurrentes. A</w:t>
      </w:r>
      <w:r w:rsidR="007810F3" w:rsidRPr="00DB69BA">
        <w:rPr>
          <w:bCs/>
        </w:rPr>
        <w:t xml:space="preserve"> su vez, a</w:t>
      </w:r>
      <w:r w:rsidR="00C83425" w:rsidRPr="00DB69BA">
        <w:rPr>
          <w:bCs/>
        </w:rPr>
        <w:t xml:space="preserve">nalizar las </w:t>
      </w:r>
      <w:r w:rsidR="00C83425" w:rsidRPr="00DB69BA">
        <w:rPr>
          <w:bCs/>
          <w:i/>
        </w:rPr>
        <w:t xml:space="preserve">Memorias </w:t>
      </w:r>
      <w:r w:rsidR="00C83425" w:rsidRPr="00DB69BA">
        <w:rPr>
          <w:bCs/>
        </w:rPr>
        <w:t xml:space="preserve">de Speer desde la perspectiva de interpretación trazada por Mason </w:t>
      </w:r>
      <w:r w:rsidR="007810F3" w:rsidRPr="00DB69BA">
        <w:rPr>
          <w:bCs/>
        </w:rPr>
        <w:t xml:space="preserve">en el texto que incorporamos al análisis </w:t>
      </w:r>
      <w:r w:rsidR="00C83425" w:rsidRPr="00DB69BA">
        <w:rPr>
          <w:bCs/>
        </w:rPr>
        <w:t xml:space="preserve">permite afinar conceptos descriptivos de la estructura de poder y mando en la Alemania nazi “totalizada” al extremo durante la guerra.  </w:t>
      </w:r>
    </w:p>
    <w:p w:rsidR="00920B7C" w:rsidRPr="00DB69BA" w:rsidRDefault="00920B7C" w:rsidP="00C83425">
      <w:pPr>
        <w:autoSpaceDE w:val="0"/>
        <w:autoSpaceDN w:val="0"/>
        <w:adjustRightInd w:val="0"/>
        <w:jc w:val="both"/>
      </w:pPr>
      <w:r>
        <w:rPr>
          <w:bCs/>
        </w:rPr>
        <w:t xml:space="preserve">El desarrollo del trabajo debe estar centrado en el análisis de las </w:t>
      </w:r>
      <w:r w:rsidRPr="00920B7C">
        <w:rPr>
          <w:bCs/>
          <w:i/>
          <w:iCs/>
        </w:rPr>
        <w:t>Memorias</w:t>
      </w:r>
      <w:r>
        <w:rPr>
          <w:bCs/>
        </w:rPr>
        <w:t xml:space="preserve"> de Speer</w:t>
      </w:r>
    </w:p>
    <w:p w:rsidR="00C83425" w:rsidRPr="00DB69BA" w:rsidRDefault="00C83425" w:rsidP="00C83425">
      <w:pPr>
        <w:autoSpaceDE w:val="0"/>
        <w:autoSpaceDN w:val="0"/>
        <w:adjustRightInd w:val="0"/>
        <w:jc w:val="both"/>
      </w:pPr>
    </w:p>
    <w:p w:rsidR="00C83425" w:rsidRPr="00DB69BA" w:rsidRDefault="00C83425" w:rsidP="00C83425"/>
    <w:p w:rsidR="00C83425" w:rsidRPr="00DB69BA" w:rsidRDefault="00B83F25" w:rsidP="00C83425">
      <w:r w:rsidRPr="00DB69BA">
        <w:rPr>
          <w:b/>
        </w:rPr>
        <w:t>Fuente</w:t>
      </w:r>
      <w:r w:rsidRPr="00DB69BA">
        <w:t xml:space="preserve">: </w:t>
      </w:r>
      <w:r w:rsidR="00C83425" w:rsidRPr="00DB69BA">
        <w:t xml:space="preserve">Albert Speer, </w:t>
      </w:r>
      <w:r w:rsidR="00C83425" w:rsidRPr="00DB69BA">
        <w:rPr>
          <w:i/>
        </w:rPr>
        <w:t>Memorias</w:t>
      </w:r>
      <w:r w:rsidR="00C83425" w:rsidRPr="00DB69BA">
        <w:t>, Ed. Acantilado, Traducción Ángel Sabrido, Barcelona, 2001, capítulos 11, 15, 16, 17, 25, 26, 27, 29 y 32 (el</w:t>
      </w:r>
      <w:r w:rsidR="007810F3" w:rsidRPr="00DB69BA">
        <w:t xml:space="preserve"> libro completo</w:t>
      </w:r>
      <w:r w:rsidR="00C83425" w:rsidRPr="00DB69BA">
        <w:t xml:space="preserve"> está subido en la página de la cátedra en la sección monografías).</w:t>
      </w:r>
    </w:p>
    <w:p w:rsidR="00C83425" w:rsidRPr="00DB69BA" w:rsidRDefault="00C83425" w:rsidP="00C83425"/>
    <w:p w:rsidR="00C83425" w:rsidRPr="0063066C" w:rsidRDefault="00C83425" w:rsidP="00C83425">
      <w:pPr>
        <w:jc w:val="both"/>
      </w:pPr>
    </w:p>
    <w:p w:rsidR="00C83425" w:rsidRDefault="00B83F25" w:rsidP="00C83425">
      <w:pPr>
        <w:rPr>
          <w:b/>
        </w:rPr>
      </w:pPr>
      <w:r>
        <w:rPr>
          <w:b/>
        </w:rPr>
        <w:t>Bibliografía</w:t>
      </w:r>
    </w:p>
    <w:p w:rsidR="00C83425" w:rsidRDefault="00C83425" w:rsidP="00C83425">
      <w:pPr>
        <w:jc w:val="both"/>
      </w:pPr>
    </w:p>
    <w:p w:rsidR="00C83425" w:rsidRDefault="00C83425" w:rsidP="00C83425">
      <w:pPr>
        <w:jc w:val="both"/>
      </w:pPr>
      <w:r w:rsidRPr="00E843AE">
        <w:t>Mason, T.W., “La primacía de la política: política y economía</w:t>
      </w:r>
      <w:r>
        <w:t xml:space="preserve"> en </w:t>
      </w:r>
      <w:smartTag w:uri="urn:schemas-microsoft-com:office:smarttags" w:element="PersonName">
        <w:smartTagPr>
          <w:attr w:name="ProductID" w:val="la Alemania"/>
        </w:smartTagPr>
        <w:r>
          <w:t>la Alemania</w:t>
        </w:r>
      </w:smartTag>
      <w:r>
        <w:t xml:space="preserve"> nacionalsocialista”</w:t>
      </w:r>
      <w:r w:rsidRPr="00E843AE">
        <w:t xml:space="preserve">, en Woolf, S, J, </w:t>
      </w:r>
      <w:r w:rsidRPr="0069712C">
        <w:rPr>
          <w:i/>
        </w:rPr>
        <w:t>La naturaleza del fascismo</w:t>
      </w:r>
      <w:r w:rsidRPr="00E843AE">
        <w:t>, México, Grijalbo, 1974.</w:t>
      </w:r>
    </w:p>
    <w:p w:rsidR="00C83425" w:rsidRDefault="00C83425" w:rsidP="00C83425">
      <w:pPr>
        <w:jc w:val="both"/>
      </w:pPr>
    </w:p>
    <w:p w:rsidR="00C83425" w:rsidRPr="00E843AE" w:rsidRDefault="00C83425" w:rsidP="00C83425">
      <w:pPr>
        <w:jc w:val="both"/>
      </w:pPr>
      <w:r>
        <w:t xml:space="preserve">IanKershaw, </w:t>
      </w:r>
      <w:r w:rsidRPr="0069712C">
        <w:rPr>
          <w:i/>
        </w:rPr>
        <w:t>La dictadura nazi. Problemas y perspectivas de interpretación</w:t>
      </w:r>
      <w:r>
        <w:t>, capítulo 3: “Política y economía en el Estado nazi”, Siglo XXI, Avellaneda, 2004.</w:t>
      </w:r>
    </w:p>
    <w:p w:rsidR="00C83425" w:rsidRDefault="00C83425" w:rsidP="00C83425"/>
    <w:p w:rsidR="00C83425" w:rsidRDefault="00C83425" w:rsidP="00C83425">
      <w:pPr>
        <w:ind w:right="-1"/>
        <w:jc w:val="both"/>
      </w:pPr>
      <w:r>
        <w:t>Kitchen, Martin (1992), Cap 11 “</w:t>
      </w:r>
      <w:smartTag w:uri="urn:schemas-microsoft-com:office:smarttags" w:element="PersonName">
        <w:smartTagPr>
          <w:attr w:name="ProductID" w:val="la Alemania"/>
        </w:smartTagPr>
        <w:r>
          <w:t>La Alemania</w:t>
        </w:r>
      </w:smartTag>
      <w:r>
        <w:t xml:space="preserve"> nazi”</w:t>
      </w:r>
      <w:r w:rsidR="00F52291">
        <w:t xml:space="preserve"> </w:t>
      </w:r>
      <w:r>
        <w:t xml:space="preserve">en </w:t>
      </w:r>
      <w:r>
        <w:rPr>
          <w:i/>
        </w:rPr>
        <w:t>El Periodo de entreguerras en Europa</w:t>
      </w:r>
      <w:r>
        <w:t>, Alianza, Madrid, 1992.</w:t>
      </w:r>
    </w:p>
    <w:p w:rsidR="00F52291" w:rsidRDefault="00F52291" w:rsidP="00C83425">
      <w:pPr>
        <w:ind w:right="-1"/>
        <w:jc w:val="both"/>
      </w:pPr>
    </w:p>
    <w:p w:rsidR="00F52291" w:rsidRDefault="00F52291" w:rsidP="00F52291">
      <w:pPr>
        <w:rPr>
          <w:b/>
        </w:rPr>
      </w:pPr>
      <w:r>
        <w:rPr>
          <w:b/>
        </w:rPr>
        <w:t>Bibliografía</w:t>
      </w:r>
      <w:r>
        <w:rPr>
          <w:b/>
        </w:rPr>
        <w:t xml:space="preserve"> complementaria optativa</w:t>
      </w:r>
    </w:p>
    <w:p w:rsidR="00F52291" w:rsidRPr="00F52291" w:rsidRDefault="00F52291" w:rsidP="00F52291">
      <w:pPr>
        <w:spacing w:before="100" w:beforeAutospacing="1" w:after="100" w:afterAutospacing="1"/>
        <w:ind w:right="-1"/>
        <w:jc w:val="both"/>
      </w:pPr>
      <w:r w:rsidRPr="00F52291">
        <w:t xml:space="preserve">Bracher, K. D. (1973) 7. “Movilización interna y oposición” en </w:t>
      </w:r>
      <w:r w:rsidRPr="00F52291">
        <w:rPr>
          <w:i/>
        </w:rPr>
        <w:t>La Dictadura Alemana</w:t>
      </w:r>
      <w:r w:rsidRPr="00F52291">
        <w:t>. Vol 2, Madrid, Alianza.</w:t>
      </w:r>
    </w:p>
    <w:p w:rsidR="00F52291" w:rsidRDefault="00F52291" w:rsidP="00C83425">
      <w:pPr>
        <w:ind w:right="-1"/>
        <w:jc w:val="both"/>
      </w:pPr>
    </w:p>
    <w:p w:rsidR="00C83425" w:rsidRDefault="00C83425" w:rsidP="00C83425">
      <w:pPr>
        <w:jc w:val="both"/>
      </w:pPr>
    </w:p>
    <w:p w:rsidR="00C83425" w:rsidRDefault="00C83425" w:rsidP="00C83425">
      <w:pPr>
        <w:autoSpaceDE w:val="0"/>
        <w:autoSpaceDN w:val="0"/>
        <w:adjustRightInd w:val="0"/>
        <w:jc w:val="both"/>
        <w:rPr>
          <w:b/>
          <w:bCs/>
        </w:rPr>
      </w:pPr>
    </w:p>
    <w:p w:rsidR="00547514" w:rsidRDefault="00547514" w:rsidP="00EE6DEB">
      <w:pPr>
        <w:autoSpaceDE w:val="0"/>
        <w:autoSpaceDN w:val="0"/>
        <w:adjustRightInd w:val="0"/>
        <w:jc w:val="both"/>
        <w:rPr>
          <w:b/>
          <w:bCs/>
          <w:iCs/>
        </w:rPr>
      </w:pPr>
    </w:p>
    <w:p w:rsidR="00547514" w:rsidRDefault="00547514" w:rsidP="00EE6DEB">
      <w:pPr>
        <w:autoSpaceDE w:val="0"/>
        <w:autoSpaceDN w:val="0"/>
        <w:adjustRightInd w:val="0"/>
        <w:jc w:val="both"/>
        <w:rPr>
          <w:b/>
          <w:bCs/>
          <w:iCs/>
        </w:rPr>
      </w:pPr>
    </w:p>
    <w:p w:rsidR="00547514" w:rsidRDefault="00547514" w:rsidP="00EE6DEB">
      <w:pPr>
        <w:autoSpaceDE w:val="0"/>
        <w:autoSpaceDN w:val="0"/>
        <w:adjustRightInd w:val="0"/>
        <w:jc w:val="both"/>
        <w:rPr>
          <w:b/>
          <w:bCs/>
          <w:iCs/>
        </w:rPr>
      </w:pPr>
    </w:p>
    <w:p w:rsidR="00547514" w:rsidRDefault="00547514" w:rsidP="00EE6DEB">
      <w:pPr>
        <w:autoSpaceDE w:val="0"/>
        <w:autoSpaceDN w:val="0"/>
        <w:adjustRightInd w:val="0"/>
        <w:jc w:val="both"/>
        <w:rPr>
          <w:b/>
          <w:bCs/>
          <w:iCs/>
        </w:rPr>
      </w:pPr>
    </w:p>
    <w:p w:rsidR="00EE6DEB" w:rsidRPr="00DB69BA" w:rsidRDefault="00EE6DEB" w:rsidP="00EE6DEB">
      <w:pPr>
        <w:autoSpaceDE w:val="0"/>
        <w:autoSpaceDN w:val="0"/>
        <w:adjustRightInd w:val="0"/>
        <w:jc w:val="both"/>
        <w:rPr>
          <w:b/>
          <w:bCs/>
          <w:iCs/>
        </w:rPr>
      </w:pPr>
      <w:r w:rsidRPr="00DB69BA">
        <w:rPr>
          <w:b/>
          <w:bCs/>
          <w:iCs/>
        </w:rPr>
        <w:t xml:space="preserve">Opción Nº 2: </w:t>
      </w:r>
      <w:r w:rsidR="00F52291">
        <w:rPr>
          <w:b/>
          <w:bCs/>
          <w:iCs/>
        </w:rPr>
        <w:t>El análisis de “</w:t>
      </w:r>
      <w:r w:rsidR="00F52291" w:rsidRPr="00EE6DEB">
        <w:rPr>
          <w:b/>
          <w:bCs/>
          <w:iCs/>
        </w:rPr>
        <w:t>La primacía de la política</w:t>
      </w:r>
      <w:r w:rsidR="00F52291">
        <w:rPr>
          <w:b/>
          <w:bCs/>
          <w:iCs/>
        </w:rPr>
        <w:t>” a través de</w:t>
      </w:r>
      <w:r w:rsidR="00F52291" w:rsidRPr="00DB69BA">
        <w:rPr>
          <w:b/>
          <w:bCs/>
          <w:iCs/>
        </w:rPr>
        <w:t xml:space="preserve"> </w:t>
      </w:r>
      <w:r w:rsidR="00F52291">
        <w:rPr>
          <w:b/>
          <w:bCs/>
          <w:iCs/>
        </w:rPr>
        <w:t>la película</w:t>
      </w:r>
      <w:r w:rsidRPr="00DB69BA">
        <w:rPr>
          <w:b/>
          <w:bCs/>
          <w:iCs/>
        </w:rPr>
        <w:t xml:space="preserve"> </w:t>
      </w:r>
      <w:r w:rsidR="00DB69BA" w:rsidRPr="00DB69BA">
        <w:rPr>
          <w:bCs/>
          <w:i/>
          <w:iCs/>
        </w:rPr>
        <w:t>El ocaso de los dioses</w:t>
      </w:r>
      <w:r w:rsidR="00547514" w:rsidRPr="00DB69BA">
        <w:rPr>
          <w:bCs/>
          <w:i/>
          <w:iCs/>
        </w:rPr>
        <w:t xml:space="preserve"> </w:t>
      </w:r>
      <w:r w:rsidRPr="00DB69BA">
        <w:rPr>
          <w:bCs/>
          <w:iCs/>
        </w:rPr>
        <w:t>de Luchino Visconti</w:t>
      </w:r>
    </w:p>
    <w:p w:rsidR="00C83425" w:rsidRPr="00DB69BA" w:rsidRDefault="00C83425" w:rsidP="00C83425">
      <w:pPr>
        <w:autoSpaceDE w:val="0"/>
        <w:autoSpaceDN w:val="0"/>
        <w:adjustRightInd w:val="0"/>
        <w:jc w:val="both"/>
        <w:rPr>
          <w:b/>
          <w:bCs/>
        </w:rPr>
      </w:pPr>
    </w:p>
    <w:p w:rsidR="00C83425" w:rsidRPr="00DB69BA" w:rsidRDefault="00B83F25" w:rsidP="00C83425">
      <w:pPr>
        <w:autoSpaceDE w:val="0"/>
        <w:autoSpaceDN w:val="0"/>
        <w:adjustRightInd w:val="0"/>
        <w:jc w:val="both"/>
      </w:pPr>
      <w:r w:rsidRPr="00DB69BA">
        <w:rPr>
          <w:bCs/>
          <w:iCs/>
        </w:rPr>
        <w:t xml:space="preserve">La propuesta consiste en </w:t>
      </w:r>
      <w:r w:rsidR="00C83425" w:rsidRPr="00DB69BA">
        <w:rPr>
          <w:bCs/>
          <w:iCs/>
        </w:rPr>
        <w:t xml:space="preserve">analizar </w:t>
      </w:r>
      <w:r w:rsidRPr="00DB69BA">
        <w:t xml:space="preserve">si en la Alemania nazi se dio una primacía de la política </w:t>
      </w:r>
      <w:r w:rsidR="00920B7C" w:rsidRPr="00DB69BA">
        <w:rPr>
          <w:bCs/>
          <w:iCs/>
        </w:rPr>
        <w:t xml:space="preserve">a la luz </w:t>
      </w:r>
      <w:r w:rsidR="00920B7C" w:rsidRPr="00DB69BA">
        <w:t>del debate expuesto por Kershaw</w:t>
      </w:r>
      <w:r w:rsidR="00920B7C">
        <w:t>, o,</w:t>
      </w:r>
      <w:r w:rsidR="00920B7C" w:rsidRPr="00DB69BA">
        <w:t xml:space="preserve"> por el contrario, una prevalencia de los intereses de la clase dominante</w:t>
      </w:r>
      <w:r w:rsidR="00920B7C">
        <w:t xml:space="preserve">, a partir de la interpretación de la película </w:t>
      </w:r>
      <w:r w:rsidR="00920B7C" w:rsidRPr="00DB69BA">
        <w:rPr>
          <w:bCs/>
          <w:i/>
          <w:iCs/>
        </w:rPr>
        <w:t xml:space="preserve">El ocaso de los dioses </w:t>
      </w:r>
      <w:r w:rsidR="00920B7C" w:rsidRPr="00DB69BA">
        <w:rPr>
          <w:bCs/>
          <w:iCs/>
        </w:rPr>
        <w:t>de</w:t>
      </w:r>
      <w:r w:rsidR="00920B7C" w:rsidRPr="00DB69BA">
        <w:rPr>
          <w:bCs/>
          <w:i/>
          <w:iCs/>
        </w:rPr>
        <w:t xml:space="preserve"> </w:t>
      </w:r>
      <w:r w:rsidR="00920B7C" w:rsidRPr="00DB69BA">
        <w:rPr>
          <w:bCs/>
          <w:iCs/>
        </w:rPr>
        <w:t>Luchino Visconti</w:t>
      </w:r>
      <w:r w:rsidR="00920B7C">
        <w:t xml:space="preserve">. </w:t>
      </w:r>
      <w:r w:rsidR="00537BD9" w:rsidRPr="00DB69BA">
        <w:t xml:space="preserve">¿Fue </w:t>
      </w:r>
      <w:r w:rsidRPr="00DB69BA">
        <w:t xml:space="preserve">el </w:t>
      </w:r>
      <w:r w:rsidR="00537BD9" w:rsidRPr="00DB69BA">
        <w:t xml:space="preserve">régimen nazi </w:t>
      </w:r>
      <w:r w:rsidRPr="00DB69BA">
        <w:t xml:space="preserve">un </w:t>
      </w:r>
      <w:r w:rsidR="00537BD9" w:rsidRPr="00DB69BA">
        <w:t xml:space="preserve">instrumento </w:t>
      </w:r>
      <w:r w:rsidRPr="00DB69BA">
        <w:t>de los intereses de la clase dominante</w:t>
      </w:r>
      <w:r w:rsidR="00537BD9" w:rsidRPr="00DB69BA">
        <w:t xml:space="preserve"> o más bien al contrario el nazismo le impuso a ella sus objetivos?</w:t>
      </w:r>
      <w:r w:rsidR="007810F3" w:rsidRPr="00DB69BA">
        <w:t xml:space="preserve"> </w:t>
      </w:r>
      <w:r w:rsidR="00C83425" w:rsidRPr="00DB69BA">
        <w:t>El film de Visconti interpreta la relación entre régimen y clase dominante alemana</w:t>
      </w:r>
      <w:r w:rsidR="00537BD9" w:rsidRPr="00DB69BA">
        <w:t xml:space="preserve"> a través de una historia muy rica en elementos contrastables con la interpretación de Mason y las interpretaciones histórica</w:t>
      </w:r>
      <w:r w:rsidR="003717F6" w:rsidRPr="00DB69BA">
        <w:t>s</w:t>
      </w:r>
      <w:r w:rsidR="00537BD9" w:rsidRPr="00DB69BA">
        <w:t xml:space="preserve"> que analiza Kershaw</w:t>
      </w:r>
      <w:r w:rsidR="00C83425" w:rsidRPr="00DB69BA">
        <w:t xml:space="preserve">. </w:t>
      </w:r>
      <w:r w:rsidR="00537BD9" w:rsidRPr="00DB69BA">
        <w:t>E</w:t>
      </w:r>
      <w:r w:rsidR="00C83425" w:rsidRPr="00DB69BA">
        <w:t>l</w:t>
      </w:r>
      <w:r w:rsidR="007810F3" w:rsidRPr="00DB69BA">
        <w:t xml:space="preserve"> trabajo debe estar centrado en el análisis de </w:t>
      </w:r>
      <w:r w:rsidR="00C83425" w:rsidRPr="00DB69BA">
        <w:t xml:space="preserve">la película </w:t>
      </w:r>
      <w:r w:rsidR="007810F3" w:rsidRPr="00DB69BA">
        <w:t xml:space="preserve">a partir de las perspectivas </w:t>
      </w:r>
      <w:r w:rsidR="002959C2" w:rsidRPr="00DB69BA">
        <w:t xml:space="preserve">sobre el </w:t>
      </w:r>
      <w:r w:rsidR="007810F3" w:rsidRPr="00DB69BA">
        <w:t xml:space="preserve">nazismo </w:t>
      </w:r>
      <w:r w:rsidR="002959C2" w:rsidRPr="00DB69BA">
        <w:t xml:space="preserve">(¿primacía de la política o de la economía?) </w:t>
      </w:r>
      <w:r w:rsidR="007810F3" w:rsidRPr="00DB69BA">
        <w:t xml:space="preserve">que nos plantean </w:t>
      </w:r>
      <w:r w:rsidR="00C83425" w:rsidRPr="00DB69BA">
        <w:t xml:space="preserve">Mason y Kershaw. </w:t>
      </w:r>
    </w:p>
    <w:p w:rsidR="00537BD9" w:rsidRPr="00DB69BA" w:rsidRDefault="00537BD9" w:rsidP="00C83425">
      <w:pPr>
        <w:autoSpaceDE w:val="0"/>
        <w:autoSpaceDN w:val="0"/>
        <w:adjustRightInd w:val="0"/>
        <w:jc w:val="both"/>
      </w:pPr>
    </w:p>
    <w:p w:rsidR="003717F6" w:rsidRDefault="00B83F25" w:rsidP="00B83F25">
      <w:pPr>
        <w:autoSpaceDE w:val="0"/>
        <w:autoSpaceDN w:val="0"/>
        <w:adjustRightInd w:val="0"/>
        <w:jc w:val="both"/>
        <w:rPr>
          <w:bCs/>
          <w:iCs/>
        </w:rPr>
      </w:pPr>
      <w:r w:rsidRPr="00B83F25">
        <w:rPr>
          <w:b/>
        </w:rPr>
        <w:t>Fuente</w:t>
      </w:r>
      <w:r>
        <w:t xml:space="preserve">: </w:t>
      </w:r>
      <w:r w:rsidR="00DB69BA" w:rsidRPr="00DB69BA">
        <w:rPr>
          <w:bCs/>
          <w:i/>
          <w:iCs/>
        </w:rPr>
        <w:t xml:space="preserve">El ocaso de los dioses </w:t>
      </w:r>
      <w:r w:rsidR="00DB69BA" w:rsidRPr="00DB69BA">
        <w:rPr>
          <w:bCs/>
          <w:iCs/>
        </w:rPr>
        <w:t>(o</w:t>
      </w:r>
      <w:r w:rsidR="00DB69BA">
        <w:rPr>
          <w:bCs/>
          <w:i/>
          <w:iCs/>
        </w:rPr>
        <w:t xml:space="preserve"> </w:t>
      </w:r>
      <w:r w:rsidR="00547514">
        <w:rPr>
          <w:bCs/>
          <w:i/>
          <w:iCs/>
        </w:rPr>
        <w:t>La caída d</w:t>
      </w:r>
      <w:r w:rsidR="00DB69BA">
        <w:rPr>
          <w:bCs/>
          <w:i/>
          <w:iCs/>
        </w:rPr>
        <w:t>e los dioses</w:t>
      </w:r>
      <w:r w:rsidR="00DB69BA">
        <w:rPr>
          <w:bCs/>
          <w:iCs/>
        </w:rPr>
        <w:t>) d</w:t>
      </w:r>
      <w:r w:rsidRPr="00B83F25">
        <w:rPr>
          <w:bCs/>
          <w:iCs/>
        </w:rPr>
        <w:t>e Luchino Visconti</w:t>
      </w:r>
      <w:r w:rsidR="00547514">
        <w:rPr>
          <w:bCs/>
          <w:iCs/>
        </w:rPr>
        <w:t xml:space="preserve"> (1969). </w:t>
      </w:r>
    </w:p>
    <w:p w:rsidR="003717F6" w:rsidRDefault="003717F6" w:rsidP="00B83F25">
      <w:pPr>
        <w:autoSpaceDE w:val="0"/>
        <w:autoSpaceDN w:val="0"/>
        <w:adjustRightInd w:val="0"/>
        <w:jc w:val="both"/>
        <w:rPr>
          <w:bCs/>
          <w:iCs/>
        </w:rPr>
      </w:pPr>
      <w:r>
        <w:rPr>
          <w:bCs/>
          <w:iCs/>
        </w:rPr>
        <w:t xml:space="preserve">Versión subtitulada en  </w:t>
      </w:r>
      <w:hyperlink r:id="rId5" w:history="1">
        <w:r w:rsidRPr="0007379C">
          <w:rPr>
            <w:rStyle w:val="Hipervnculo"/>
            <w:bCs/>
            <w:iCs/>
          </w:rPr>
          <w:t>http://www.arcoiris.tv/scheda/it/16838/</w:t>
        </w:r>
      </w:hyperlink>
    </w:p>
    <w:p w:rsidR="00B83F25" w:rsidRDefault="003717F6" w:rsidP="00B83F25">
      <w:pPr>
        <w:autoSpaceDE w:val="0"/>
        <w:autoSpaceDN w:val="0"/>
        <w:adjustRightInd w:val="0"/>
        <w:jc w:val="both"/>
      </w:pPr>
      <w:r>
        <w:rPr>
          <w:bCs/>
          <w:iCs/>
        </w:rPr>
        <w:t xml:space="preserve">Versión doblada al español </w:t>
      </w:r>
      <w:hyperlink r:id="rId6" w:history="1">
        <w:r w:rsidR="00547514">
          <w:rPr>
            <w:rStyle w:val="Hipervnculo"/>
          </w:rPr>
          <w:t>https://www.youtube.com/watch?v=lyM0av4VBwg</w:t>
        </w:r>
      </w:hyperlink>
    </w:p>
    <w:p w:rsidR="00B83F25" w:rsidRPr="0063066C" w:rsidRDefault="00B83F25" w:rsidP="00B83F25"/>
    <w:p w:rsidR="00B83F25" w:rsidRPr="0063066C" w:rsidRDefault="00B83F25" w:rsidP="00B83F25">
      <w:pPr>
        <w:jc w:val="both"/>
      </w:pPr>
    </w:p>
    <w:p w:rsidR="00B83F25" w:rsidRDefault="00B83F25" w:rsidP="00B83F25">
      <w:pPr>
        <w:rPr>
          <w:b/>
        </w:rPr>
      </w:pPr>
      <w:r>
        <w:rPr>
          <w:b/>
        </w:rPr>
        <w:t>Bibliografía</w:t>
      </w:r>
    </w:p>
    <w:p w:rsidR="00B83F25" w:rsidRDefault="00B83F25" w:rsidP="00B83F25">
      <w:pPr>
        <w:jc w:val="both"/>
      </w:pPr>
    </w:p>
    <w:p w:rsidR="00B83F25" w:rsidRDefault="00B83F25" w:rsidP="00B83F25">
      <w:pPr>
        <w:jc w:val="both"/>
      </w:pPr>
      <w:r w:rsidRPr="00E843AE">
        <w:t>Mason, T.W., “La primacía de la política: política y economía</w:t>
      </w:r>
      <w:r>
        <w:t xml:space="preserve"> en </w:t>
      </w:r>
      <w:smartTag w:uri="urn:schemas-microsoft-com:office:smarttags" w:element="PersonName">
        <w:smartTagPr>
          <w:attr w:name="ProductID" w:val="la Alemania"/>
        </w:smartTagPr>
        <w:r>
          <w:t>la Alemania</w:t>
        </w:r>
      </w:smartTag>
      <w:r>
        <w:t xml:space="preserve"> nacionalsocialista”</w:t>
      </w:r>
      <w:r w:rsidRPr="00E843AE">
        <w:t xml:space="preserve">, en Woolf, S, J, </w:t>
      </w:r>
      <w:r w:rsidRPr="0069712C">
        <w:rPr>
          <w:i/>
        </w:rPr>
        <w:t>La naturaleza del fascismo</w:t>
      </w:r>
      <w:r w:rsidRPr="00E843AE">
        <w:t>, México, Grijalbo, 1974.</w:t>
      </w:r>
    </w:p>
    <w:p w:rsidR="00B83F25" w:rsidRDefault="00B83F25" w:rsidP="00B83F25">
      <w:pPr>
        <w:jc w:val="both"/>
      </w:pPr>
    </w:p>
    <w:p w:rsidR="00B83F25" w:rsidRPr="00E843AE" w:rsidRDefault="00B83F25" w:rsidP="00B83F25">
      <w:pPr>
        <w:jc w:val="both"/>
      </w:pPr>
      <w:r>
        <w:t xml:space="preserve">IanKershaw, </w:t>
      </w:r>
      <w:r w:rsidRPr="0069712C">
        <w:rPr>
          <w:i/>
        </w:rPr>
        <w:t>La dictadura nazi. Problemas y perspectivas de interpretación</w:t>
      </w:r>
      <w:r>
        <w:t>, capítulo 3: “Política y economía en el Estado nazi”, Siglo XXI, Avellaneda, 2004.</w:t>
      </w:r>
    </w:p>
    <w:p w:rsidR="00B83F25" w:rsidRDefault="00B83F25" w:rsidP="00B83F25"/>
    <w:p w:rsidR="00B83F25" w:rsidRDefault="00B83F25" w:rsidP="00B83F25">
      <w:pPr>
        <w:ind w:right="-1"/>
        <w:jc w:val="both"/>
      </w:pPr>
      <w:r>
        <w:t>Kitchen, Martin (1992), Cap 11 “</w:t>
      </w:r>
      <w:smartTag w:uri="urn:schemas-microsoft-com:office:smarttags" w:element="PersonName">
        <w:smartTagPr>
          <w:attr w:name="ProductID" w:val="la Alemania"/>
        </w:smartTagPr>
        <w:r>
          <w:t>La Alemania</w:t>
        </w:r>
      </w:smartTag>
      <w:r>
        <w:t xml:space="preserve"> nazi”en </w:t>
      </w:r>
      <w:r>
        <w:rPr>
          <w:i/>
        </w:rPr>
        <w:t>El Periodo de entreguerras en Europa</w:t>
      </w:r>
      <w:r>
        <w:t>, Alianza, Madrid, 1992.</w:t>
      </w:r>
    </w:p>
    <w:p w:rsidR="00B83F25" w:rsidRDefault="00B83F25" w:rsidP="00B83F25">
      <w:pPr>
        <w:jc w:val="both"/>
      </w:pPr>
    </w:p>
    <w:p w:rsidR="00F52291" w:rsidRDefault="00F52291" w:rsidP="00F52291">
      <w:pPr>
        <w:rPr>
          <w:b/>
        </w:rPr>
      </w:pPr>
      <w:r>
        <w:rPr>
          <w:b/>
        </w:rPr>
        <w:t>Bibliografía complementaria optativa</w:t>
      </w:r>
    </w:p>
    <w:p w:rsidR="00411F76" w:rsidRDefault="00F52291" w:rsidP="00411F76">
      <w:pPr>
        <w:spacing w:before="100" w:beforeAutospacing="1" w:after="100" w:afterAutospacing="1"/>
        <w:ind w:right="-1"/>
        <w:jc w:val="both"/>
      </w:pPr>
      <w:r w:rsidRPr="00F52291">
        <w:t xml:space="preserve">Bracher, K. D. (1973) 7. “Movilización interna y oposición” en </w:t>
      </w:r>
      <w:r w:rsidRPr="00F52291">
        <w:rPr>
          <w:i/>
        </w:rPr>
        <w:t>La Dictadura Alemana</w:t>
      </w:r>
      <w:r w:rsidRPr="00F52291">
        <w:t>. Vol 2, Madrid, Alianza.</w:t>
      </w:r>
    </w:p>
    <w:p w:rsidR="00411F76" w:rsidRPr="00BA2C93" w:rsidRDefault="00411F76" w:rsidP="00411F76">
      <w:pPr>
        <w:spacing w:before="100" w:beforeAutospacing="1" w:after="100" w:afterAutospacing="1"/>
        <w:ind w:right="-1"/>
        <w:jc w:val="both"/>
        <w:rPr>
          <w:u w:val="single"/>
        </w:rPr>
      </w:pPr>
      <w:r>
        <w:br/>
      </w:r>
      <w:r w:rsidRPr="00BA2C93">
        <w:rPr>
          <w:u w:val="single"/>
        </w:rPr>
        <w:t>Aspectos formales</w:t>
      </w:r>
    </w:p>
    <w:p w:rsidR="00411F76" w:rsidRPr="00BA2C93" w:rsidRDefault="00411F76" w:rsidP="00411F76">
      <w:pPr>
        <w:jc w:val="both"/>
      </w:pPr>
    </w:p>
    <w:p w:rsidR="00411F76" w:rsidRPr="00BA2C93" w:rsidRDefault="00411F76" w:rsidP="00411F76">
      <w:pPr>
        <w:tabs>
          <w:tab w:val="left" w:pos="284"/>
        </w:tabs>
        <w:jc w:val="both"/>
      </w:pPr>
      <w:r w:rsidRPr="00BA2C93">
        <w:t>El desarrollo del trabajo constará de no más de diez carillas (sin contar carátula, bibliografía y otros) a 1,5 interlineado, justificado y letra tamaño 12.</w:t>
      </w:r>
    </w:p>
    <w:p w:rsidR="00411F76" w:rsidRPr="00BA2C93" w:rsidRDefault="00411F76" w:rsidP="00411F76">
      <w:pPr>
        <w:tabs>
          <w:tab w:val="left" w:pos="284"/>
        </w:tabs>
        <w:jc w:val="both"/>
      </w:pPr>
    </w:p>
    <w:p w:rsidR="00411F76" w:rsidRPr="00BA2C93" w:rsidRDefault="00411F76" w:rsidP="00411F76">
      <w:pPr>
        <w:tabs>
          <w:tab w:val="left" w:pos="284"/>
        </w:tabs>
        <w:jc w:val="both"/>
      </w:pPr>
      <w:r w:rsidRPr="00BA2C93">
        <w:t>Además, se deberá incluir:</w:t>
      </w:r>
    </w:p>
    <w:p w:rsidR="00411F76" w:rsidRPr="00BA2C93" w:rsidRDefault="00411F76" w:rsidP="00411F76">
      <w:pPr>
        <w:tabs>
          <w:tab w:val="left" w:pos="284"/>
        </w:tabs>
        <w:jc w:val="both"/>
      </w:pPr>
    </w:p>
    <w:p w:rsidR="00411F76" w:rsidRPr="00BA2C93" w:rsidRDefault="00411F76" w:rsidP="00411F76">
      <w:pPr>
        <w:pStyle w:val="Ttulo3"/>
        <w:keepLines w:val="0"/>
        <w:numPr>
          <w:ilvl w:val="0"/>
          <w:numId w:val="1"/>
        </w:numPr>
        <w:tabs>
          <w:tab w:val="left" w:pos="284"/>
        </w:tabs>
        <w:spacing w:before="0" w:line="240" w:lineRule="auto"/>
        <w:ind w:left="0" w:firstLine="0"/>
        <w:jc w:val="both"/>
        <w:rPr>
          <w:rFonts w:ascii="Times New Roman" w:hAnsi="Times New Roman" w:cs="Times New Roman"/>
        </w:rPr>
      </w:pPr>
      <w:r w:rsidRPr="00BA2C93">
        <w:rPr>
          <w:rFonts w:ascii="Times New Roman" w:hAnsi="Times New Roman"/>
        </w:rPr>
        <w:t xml:space="preserve">Una </w:t>
      </w:r>
      <w:r w:rsidRPr="00BA2C93">
        <w:rPr>
          <w:rFonts w:ascii="Times New Roman" w:hAnsi="Times New Roman"/>
          <w:b/>
        </w:rPr>
        <w:t>carátula</w:t>
      </w:r>
      <w:r w:rsidRPr="00BA2C93">
        <w:rPr>
          <w:rFonts w:ascii="Times New Roman" w:hAnsi="Times New Roman"/>
        </w:rPr>
        <w:t xml:space="preserve"> en la cual consten los siguientes datos:</w:t>
      </w:r>
    </w:p>
    <w:p w:rsidR="00411F76" w:rsidRPr="00261C62" w:rsidRDefault="00411F76" w:rsidP="00411F76">
      <w:pPr>
        <w:tabs>
          <w:tab w:val="left" w:pos="284"/>
        </w:tabs>
        <w:jc w:val="both"/>
        <w:rPr>
          <w:b/>
          <w:bCs/>
        </w:rPr>
      </w:pPr>
      <w:r w:rsidRPr="00261C62">
        <w:rPr>
          <w:b/>
          <w:bCs/>
        </w:rPr>
        <w:t>-Título del trabajo</w:t>
      </w:r>
    </w:p>
    <w:p w:rsidR="00411F76" w:rsidRPr="00261C62" w:rsidRDefault="00411F76" w:rsidP="00411F76">
      <w:pPr>
        <w:pStyle w:val="Ttulo2"/>
        <w:tabs>
          <w:tab w:val="left" w:pos="284"/>
        </w:tabs>
        <w:spacing w:before="0"/>
        <w:rPr>
          <w:rFonts w:ascii="Times New Roman" w:hAnsi="Times New Roman" w:cs="Times New Roman"/>
          <w:b/>
          <w:bCs/>
          <w:color w:val="auto"/>
          <w:sz w:val="24"/>
          <w:szCs w:val="24"/>
        </w:rPr>
      </w:pPr>
      <w:r w:rsidRPr="00261C62">
        <w:rPr>
          <w:rFonts w:ascii="Times New Roman" w:hAnsi="Times New Roman" w:cs="Times New Roman"/>
          <w:b/>
          <w:bCs/>
          <w:color w:val="auto"/>
          <w:sz w:val="24"/>
          <w:szCs w:val="24"/>
        </w:rPr>
        <w:lastRenderedPageBreak/>
        <w:t>-Nombre de la materia y cátedra</w:t>
      </w:r>
    </w:p>
    <w:p w:rsidR="00411F76" w:rsidRPr="00261C62" w:rsidRDefault="00411F76" w:rsidP="00411F76">
      <w:pPr>
        <w:pStyle w:val="Ttulo2"/>
        <w:tabs>
          <w:tab w:val="left" w:pos="284"/>
        </w:tabs>
        <w:spacing w:before="0"/>
        <w:rPr>
          <w:rFonts w:ascii="Times New Roman" w:hAnsi="Times New Roman" w:cs="Times New Roman"/>
          <w:b/>
          <w:bCs/>
          <w:color w:val="auto"/>
          <w:sz w:val="24"/>
          <w:szCs w:val="24"/>
        </w:rPr>
      </w:pPr>
      <w:r w:rsidRPr="00261C62">
        <w:rPr>
          <w:rFonts w:ascii="Times New Roman" w:hAnsi="Times New Roman" w:cs="Times New Roman"/>
          <w:b/>
          <w:bCs/>
          <w:color w:val="auto"/>
          <w:sz w:val="24"/>
          <w:szCs w:val="24"/>
        </w:rPr>
        <w:t>-Apellido y Nombre del alumno</w:t>
      </w:r>
    </w:p>
    <w:p w:rsidR="00411F76" w:rsidRPr="00261C62" w:rsidRDefault="00411F76" w:rsidP="00411F76">
      <w:pPr>
        <w:tabs>
          <w:tab w:val="left" w:pos="284"/>
        </w:tabs>
        <w:jc w:val="both"/>
        <w:rPr>
          <w:b/>
          <w:bCs/>
        </w:rPr>
      </w:pPr>
      <w:r w:rsidRPr="00261C62">
        <w:rPr>
          <w:b/>
          <w:bCs/>
        </w:rPr>
        <w:t>-Día y horario de la Comisión</w:t>
      </w:r>
    </w:p>
    <w:p w:rsidR="00411F76" w:rsidRPr="00261C62" w:rsidRDefault="00411F76" w:rsidP="00411F76">
      <w:pPr>
        <w:tabs>
          <w:tab w:val="left" w:pos="284"/>
        </w:tabs>
        <w:jc w:val="both"/>
        <w:rPr>
          <w:b/>
          <w:bCs/>
        </w:rPr>
      </w:pPr>
      <w:r w:rsidRPr="00261C62">
        <w:rPr>
          <w:b/>
          <w:bCs/>
        </w:rPr>
        <w:t>-Cuatrimestre y año de la cursada</w:t>
      </w:r>
    </w:p>
    <w:p w:rsidR="00411F76" w:rsidRDefault="00411F76" w:rsidP="00411F76">
      <w:pPr>
        <w:tabs>
          <w:tab w:val="left" w:pos="284"/>
        </w:tabs>
        <w:jc w:val="both"/>
        <w:rPr>
          <w:b/>
          <w:bCs/>
        </w:rPr>
      </w:pPr>
      <w:r w:rsidRPr="00261C62">
        <w:rPr>
          <w:b/>
          <w:bCs/>
        </w:rPr>
        <w:t>-Nº de documento</w:t>
      </w:r>
    </w:p>
    <w:p w:rsidR="00261C62" w:rsidRPr="00261C62" w:rsidRDefault="00261C62" w:rsidP="00411F76">
      <w:pPr>
        <w:tabs>
          <w:tab w:val="left" w:pos="284"/>
        </w:tabs>
        <w:jc w:val="both"/>
        <w:rPr>
          <w:b/>
          <w:bCs/>
        </w:rPr>
      </w:pPr>
      <w:r>
        <w:rPr>
          <w:b/>
          <w:bCs/>
        </w:rPr>
        <w:t>-Dirección de mail del alumno</w:t>
      </w:r>
      <w:bookmarkStart w:id="0" w:name="_GoBack"/>
      <w:bookmarkEnd w:id="0"/>
    </w:p>
    <w:p w:rsidR="00411F76" w:rsidRPr="00261C62" w:rsidRDefault="00411F76" w:rsidP="00411F76">
      <w:pPr>
        <w:tabs>
          <w:tab w:val="left" w:pos="284"/>
        </w:tabs>
        <w:jc w:val="both"/>
      </w:pPr>
    </w:p>
    <w:p w:rsidR="00411F76" w:rsidRPr="00261C62" w:rsidRDefault="00411F76" w:rsidP="00411F76">
      <w:pPr>
        <w:pStyle w:val="Ttulo4"/>
        <w:keepLines w:val="0"/>
        <w:numPr>
          <w:ilvl w:val="0"/>
          <w:numId w:val="2"/>
        </w:numPr>
        <w:tabs>
          <w:tab w:val="left" w:pos="284"/>
        </w:tabs>
        <w:spacing w:before="0" w:line="240" w:lineRule="auto"/>
        <w:ind w:left="0" w:firstLine="0"/>
        <w:jc w:val="both"/>
        <w:rPr>
          <w:rFonts w:ascii="Times New Roman" w:hAnsi="Times New Roman" w:cs="Times New Roman"/>
          <w:color w:val="auto"/>
          <w:sz w:val="24"/>
          <w:szCs w:val="24"/>
        </w:rPr>
      </w:pPr>
      <w:r w:rsidRPr="00261C62">
        <w:rPr>
          <w:rFonts w:ascii="Times New Roman" w:hAnsi="Times New Roman"/>
          <w:color w:val="auto"/>
          <w:sz w:val="24"/>
          <w:szCs w:val="24"/>
        </w:rPr>
        <w:t xml:space="preserve">Un </w:t>
      </w:r>
      <w:r w:rsidRPr="00261C62">
        <w:rPr>
          <w:rFonts w:ascii="Times New Roman" w:hAnsi="Times New Roman"/>
          <w:b/>
          <w:color w:val="auto"/>
          <w:sz w:val="24"/>
          <w:szCs w:val="24"/>
        </w:rPr>
        <w:t>Índice</w:t>
      </w:r>
      <w:r w:rsidRPr="00261C62">
        <w:rPr>
          <w:rFonts w:ascii="Times New Roman" w:hAnsi="Times New Roman"/>
          <w:color w:val="auto"/>
          <w:sz w:val="24"/>
          <w:szCs w:val="24"/>
        </w:rPr>
        <w:t xml:space="preserve"> que refleje el Plan de Trabajo seguido por el alumno</w:t>
      </w:r>
    </w:p>
    <w:p w:rsidR="00411F76" w:rsidRPr="00261C62" w:rsidRDefault="00411F76" w:rsidP="00411F76"/>
    <w:p w:rsidR="00411F76" w:rsidRPr="00261C62" w:rsidRDefault="00411F76" w:rsidP="00411F76">
      <w:pPr>
        <w:pStyle w:val="Sangradetextonormal"/>
        <w:numPr>
          <w:ilvl w:val="0"/>
          <w:numId w:val="2"/>
        </w:numPr>
        <w:tabs>
          <w:tab w:val="left" w:pos="284"/>
        </w:tabs>
        <w:ind w:left="0" w:firstLine="0"/>
        <w:jc w:val="both"/>
        <w:rPr>
          <w:rFonts w:ascii="Times New Roman" w:hAnsi="Times New Roman" w:cs="Times New Roman"/>
          <w:szCs w:val="24"/>
        </w:rPr>
      </w:pPr>
      <w:r w:rsidRPr="00261C62">
        <w:rPr>
          <w:rFonts w:ascii="Times New Roman" w:hAnsi="Times New Roman" w:cs="Times New Roman"/>
          <w:szCs w:val="24"/>
        </w:rPr>
        <w:t xml:space="preserve">La </w:t>
      </w:r>
      <w:r w:rsidRPr="00261C62">
        <w:rPr>
          <w:rFonts w:ascii="Times New Roman" w:hAnsi="Times New Roman" w:cs="Times New Roman"/>
          <w:b/>
          <w:szCs w:val="24"/>
        </w:rPr>
        <w:t>Bibliografía</w:t>
      </w:r>
      <w:r w:rsidRPr="00261C62">
        <w:rPr>
          <w:rFonts w:ascii="Times New Roman" w:hAnsi="Times New Roman" w:cs="Times New Roman"/>
          <w:szCs w:val="24"/>
        </w:rPr>
        <w:t xml:space="preserve"> utilizada para la realización del trabajo correctamente citada de acuerdo a las normas APA (tomar como modelo la forma en que está citada la bibliografía en el programa).</w:t>
      </w:r>
    </w:p>
    <w:p w:rsidR="00411F76" w:rsidRPr="00261C62" w:rsidRDefault="00411F76" w:rsidP="00411F76">
      <w:pPr>
        <w:pStyle w:val="Sangradetextonormal"/>
        <w:tabs>
          <w:tab w:val="left" w:pos="284"/>
        </w:tabs>
        <w:ind w:firstLine="0"/>
        <w:jc w:val="both"/>
        <w:rPr>
          <w:rFonts w:ascii="Times New Roman" w:hAnsi="Times New Roman" w:cs="Times New Roman"/>
          <w:szCs w:val="24"/>
        </w:rPr>
      </w:pPr>
    </w:p>
    <w:p w:rsidR="00411F76" w:rsidRPr="00261C62" w:rsidRDefault="00411F76" w:rsidP="00411F76">
      <w:pPr>
        <w:tabs>
          <w:tab w:val="left" w:pos="284"/>
        </w:tabs>
        <w:jc w:val="both"/>
      </w:pPr>
      <w:r w:rsidRPr="00261C62">
        <w:t xml:space="preserve">Se podrán utilizar citas textuales o síntesis analíticas de la bibliografía consultada (obligatoria y optativa), pero se deberá cuidar que éstas no constituyan largas transcripciones. La cátedra evaluará la producción del alumno y no la de otros autores. Toda cita deberá tener su correspondiente referencia: nota a pie de página, con el autor, nombre de la obra y nº de página en donde figura ese texto o esa idea. </w:t>
      </w:r>
    </w:p>
    <w:p w:rsidR="00411F76" w:rsidRPr="00261C62" w:rsidRDefault="00411F76" w:rsidP="00411F76">
      <w:pPr>
        <w:tabs>
          <w:tab w:val="left" w:pos="284"/>
        </w:tabs>
        <w:jc w:val="both"/>
      </w:pPr>
    </w:p>
    <w:p w:rsidR="00411F76" w:rsidRPr="00261C62" w:rsidRDefault="00411F76" w:rsidP="00411F76">
      <w:pPr>
        <w:tabs>
          <w:tab w:val="left" w:pos="284"/>
        </w:tabs>
        <w:jc w:val="both"/>
      </w:pPr>
      <w:r w:rsidRPr="00261C62">
        <w:t>Las páginas deben estar numeradas</w:t>
      </w:r>
    </w:p>
    <w:p w:rsidR="00411F76" w:rsidRPr="00261C62" w:rsidRDefault="00411F76" w:rsidP="00411F76">
      <w:pPr>
        <w:tabs>
          <w:tab w:val="left" w:pos="284"/>
        </w:tabs>
        <w:jc w:val="both"/>
      </w:pPr>
    </w:p>
    <w:p w:rsidR="00411F76" w:rsidRPr="00261C62" w:rsidRDefault="00411F76" w:rsidP="00411F76">
      <w:pPr>
        <w:tabs>
          <w:tab w:val="left" w:pos="284"/>
        </w:tabs>
        <w:jc w:val="both"/>
      </w:pPr>
      <w:r w:rsidRPr="00261C62">
        <w:t xml:space="preserve">El trabajo que no contemple esos aspectos formales, tenga faltas de ortografía y/o abundantes errores de tipeo no podrá ser evaluado. Recordar que los acentos y las ‘ñ’ forman parte de nuestro idioma. </w:t>
      </w:r>
    </w:p>
    <w:p w:rsidR="00411F76" w:rsidRPr="00261C62" w:rsidRDefault="00411F76" w:rsidP="00411F76">
      <w:pPr>
        <w:tabs>
          <w:tab w:val="left" w:pos="284"/>
        </w:tabs>
        <w:jc w:val="both"/>
      </w:pPr>
    </w:p>
    <w:p w:rsidR="00411F76" w:rsidRPr="00261C62" w:rsidRDefault="00411F76" w:rsidP="00411F76">
      <w:pPr>
        <w:tabs>
          <w:tab w:val="left" w:pos="284"/>
        </w:tabs>
        <w:jc w:val="both"/>
      </w:pPr>
      <w:r w:rsidRPr="00261C62">
        <w:t xml:space="preserve">Como todo trabajo monográfico, es imprescindible comenzar con una breve introducción (no más de una hoja) que explique el camino que se seguirá en el trabajo, los temas/aspectos que se van a </w:t>
      </w:r>
      <w:r w:rsidRPr="00261C62">
        <w:t>analizar,</w:t>
      </w:r>
      <w:r w:rsidRPr="00261C62">
        <w:t xml:space="preserve"> así como la justificación de los mismos. </w:t>
      </w:r>
    </w:p>
    <w:p w:rsidR="00411F76" w:rsidRPr="00261C62" w:rsidRDefault="00411F76" w:rsidP="00411F76">
      <w:pPr>
        <w:pStyle w:val="Sangra2detindependiente"/>
        <w:tabs>
          <w:tab w:val="left" w:pos="284"/>
        </w:tabs>
        <w:ind w:left="0"/>
        <w:jc w:val="both"/>
        <w:rPr>
          <w:rFonts w:ascii="Times New Roman" w:hAnsi="Times New Roman" w:cs="Times New Roman"/>
          <w:szCs w:val="24"/>
          <w:lang w:val="es-AR"/>
        </w:rPr>
      </w:pPr>
    </w:p>
    <w:p w:rsidR="00411F76" w:rsidRPr="00261C62" w:rsidRDefault="00411F76" w:rsidP="00411F76">
      <w:pPr>
        <w:pStyle w:val="Sangra2detindependiente"/>
        <w:tabs>
          <w:tab w:val="left" w:pos="284"/>
        </w:tabs>
        <w:ind w:left="0"/>
        <w:jc w:val="both"/>
        <w:rPr>
          <w:rFonts w:ascii="Times New Roman" w:hAnsi="Times New Roman" w:cs="Times New Roman"/>
          <w:szCs w:val="24"/>
        </w:rPr>
      </w:pPr>
      <w:r w:rsidRPr="00261C62">
        <w:rPr>
          <w:rFonts w:ascii="Times New Roman" w:hAnsi="Times New Roman" w:cs="Times New Roman"/>
          <w:szCs w:val="24"/>
        </w:rPr>
        <w:t xml:space="preserve">La entrega del trabajo no es personal y sólo se realizará en la fecha y horario acordados. </w:t>
      </w:r>
    </w:p>
    <w:p w:rsidR="00411F76" w:rsidRPr="00261C62" w:rsidRDefault="00411F76" w:rsidP="00411F76">
      <w:pPr>
        <w:jc w:val="both"/>
      </w:pPr>
    </w:p>
    <w:p w:rsidR="00411F76" w:rsidRPr="00261C62" w:rsidRDefault="00411F76" w:rsidP="00411F76">
      <w:pPr>
        <w:jc w:val="both"/>
      </w:pPr>
    </w:p>
    <w:p w:rsidR="00411F76" w:rsidRPr="00261C62" w:rsidRDefault="00411F76" w:rsidP="00411F76">
      <w:pPr>
        <w:pBdr>
          <w:top w:val="single" w:sz="4" w:space="1" w:color="auto"/>
          <w:left w:val="single" w:sz="4" w:space="4" w:color="auto"/>
          <w:bottom w:val="single" w:sz="4" w:space="1" w:color="auto"/>
          <w:right w:val="single" w:sz="4" w:space="4" w:color="auto"/>
        </w:pBdr>
        <w:jc w:val="both"/>
      </w:pPr>
      <w:r w:rsidRPr="00261C62">
        <w:rPr>
          <w:b/>
        </w:rPr>
        <w:t>E</w:t>
      </w:r>
      <w:r w:rsidRPr="00261C62">
        <w:rPr>
          <w:b/>
        </w:rPr>
        <w:t>ntrega y E</w:t>
      </w:r>
      <w:r w:rsidRPr="00261C62">
        <w:rPr>
          <w:b/>
        </w:rPr>
        <w:t>valuación</w:t>
      </w:r>
    </w:p>
    <w:p w:rsidR="00411F76" w:rsidRPr="00261C62" w:rsidRDefault="00411F76" w:rsidP="00411F76">
      <w:pPr>
        <w:pBdr>
          <w:top w:val="single" w:sz="4" w:space="1" w:color="auto"/>
          <w:left w:val="single" w:sz="4" w:space="4" w:color="auto"/>
          <w:bottom w:val="single" w:sz="4" w:space="1" w:color="auto"/>
          <w:right w:val="single" w:sz="4" w:space="4" w:color="auto"/>
        </w:pBdr>
        <w:jc w:val="both"/>
      </w:pPr>
      <w:r w:rsidRPr="00261C62">
        <w:t xml:space="preserve">El trabajo se entregará en la primera fecha de finales, a las 16 hs,(la entrega no es personalizada) La cátedra devolverá los trabajos ya evaluados en la segunda fecha de finales a las 15.30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w:t>
      </w:r>
      <w:r w:rsidRPr="00261C62">
        <w:rPr>
          <w:u w:val="single"/>
        </w:rPr>
        <w:t>entregar la vieja y nueva versión</w:t>
      </w:r>
      <w:r w:rsidRPr="00261C62">
        <w:t xml:space="preserve">, en </w:t>
      </w:r>
      <w:r w:rsidRPr="00261C62">
        <w:t xml:space="preserve">el primer teórico del segundo cuatrimestre </w:t>
      </w:r>
      <w:r w:rsidRPr="00261C62">
        <w:t>de 2019</w:t>
      </w:r>
      <w:r w:rsidRPr="00261C62">
        <w:t>.</w:t>
      </w:r>
      <w:r w:rsidRPr="00261C62">
        <w:t xml:space="preserve"> En este caso, el alumno figurará en las planillas como REGULAR (debiendo el final). Si el trabajo, en esta segunda entrega, logra el nivel esperado para la promoción, la nota se volcará en las planillas en ese momento siempre y cuando el estudiante se haya inscripto “para rendir el final” Si el trabajo no logra ese nivel, se perderá la posibilidad de promocionar y se deberá rendir un examen final.</w:t>
      </w:r>
    </w:p>
    <w:p w:rsidR="00411F76" w:rsidRPr="00DC7070" w:rsidRDefault="00411F76" w:rsidP="00411F76">
      <w:pPr>
        <w:pBdr>
          <w:top w:val="single" w:sz="4" w:space="1" w:color="auto"/>
          <w:left w:val="single" w:sz="4" w:space="4" w:color="auto"/>
          <w:bottom w:val="single" w:sz="4" w:space="1" w:color="auto"/>
          <w:right w:val="single" w:sz="4" w:space="4" w:color="auto"/>
        </w:pBdr>
        <w:jc w:val="both"/>
      </w:pPr>
      <w:r w:rsidRPr="00BA2C93">
        <w:t xml:space="preserve">Si el trabajo no está aprobado, </w:t>
      </w:r>
      <w:r>
        <w:t>se pierde la posibilidad de promoción</w:t>
      </w:r>
    </w:p>
    <w:p w:rsidR="00411F76" w:rsidRPr="00F52291" w:rsidRDefault="00411F76" w:rsidP="00F52291">
      <w:pPr>
        <w:spacing w:before="100" w:beforeAutospacing="1" w:after="100" w:afterAutospacing="1"/>
        <w:ind w:right="-1"/>
        <w:jc w:val="both"/>
      </w:pPr>
    </w:p>
    <w:p w:rsidR="00C83425" w:rsidRDefault="00C83425" w:rsidP="00C83425">
      <w:pPr>
        <w:autoSpaceDE w:val="0"/>
        <w:autoSpaceDN w:val="0"/>
        <w:adjustRightInd w:val="0"/>
        <w:jc w:val="both"/>
      </w:pPr>
    </w:p>
    <w:sectPr w:rsidR="00C83425" w:rsidSect="001A2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24FDF"/>
    <w:multiLevelType w:val="hybridMultilevel"/>
    <w:tmpl w:val="ADECB5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70302212"/>
    <w:multiLevelType w:val="hybridMultilevel"/>
    <w:tmpl w:val="A1B885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3425"/>
    <w:rsid w:val="00187AA4"/>
    <w:rsid w:val="001A26D7"/>
    <w:rsid w:val="00261C62"/>
    <w:rsid w:val="002959C2"/>
    <w:rsid w:val="003717F6"/>
    <w:rsid w:val="00411F76"/>
    <w:rsid w:val="004E2322"/>
    <w:rsid w:val="004E3E32"/>
    <w:rsid w:val="00537BD9"/>
    <w:rsid w:val="00547514"/>
    <w:rsid w:val="007810F3"/>
    <w:rsid w:val="00920B7C"/>
    <w:rsid w:val="00AA43E8"/>
    <w:rsid w:val="00AD4D6C"/>
    <w:rsid w:val="00B83F25"/>
    <w:rsid w:val="00C83425"/>
    <w:rsid w:val="00DB69BA"/>
    <w:rsid w:val="00EE6DEB"/>
    <w:rsid w:val="00F522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74F058"/>
  <w15:docId w15:val="{7606A0D5-3D3E-4405-87FA-15260F65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25"/>
    <w:pPr>
      <w:spacing w:after="0" w:line="240" w:lineRule="auto"/>
    </w:pPr>
    <w:rPr>
      <w:rFonts w:ascii="Times New Roman" w:eastAsia="Times New Roman" w:hAnsi="Times New Roman"/>
      <w:lang w:eastAsia="es-ES"/>
    </w:rPr>
  </w:style>
  <w:style w:type="paragraph" w:styleId="Ttulo1">
    <w:name w:val="heading 1"/>
    <w:basedOn w:val="Normal"/>
    <w:next w:val="Normal"/>
    <w:link w:val="Ttulo1Car"/>
    <w:uiPriority w:val="9"/>
    <w:qFormat/>
    <w:rsid w:val="00411F76"/>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AR" w:eastAsia="en-US"/>
    </w:rPr>
  </w:style>
  <w:style w:type="paragraph" w:styleId="Ttulo2">
    <w:name w:val="heading 2"/>
    <w:basedOn w:val="Normal"/>
    <w:next w:val="Normal"/>
    <w:link w:val="Ttulo2Car"/>
    <w:uiPriority w:val="9"/>
    <w:unhideWhenUsed/>
    <w:qFormat/>
    <w:rsid w:val="00411F76"/>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s-AR" w:eastAsia="en-US"/>
    </w:rPr>
  </w:style>
  <w:style w:type="paragraph" w:styleId="Ttulo3">
    <w:name w:val="heading 3"/>
    <w:basedOn w:val="Normal"/>
    <w:next w:val="Normal"/>
    <w:link w:val="Ttulo3Car"/>
    <w:uiPriority w:val="9"/>
    <w:semiHidden/>
    <w:unhideWhenUsed/>
    <w:qFormat/>
    <w:rsid w:val="00411F76"/>
    <w:pPr>
      <w:keepNext/>
      <w:keepLines/>
      <w:spacing w:before="40" w:line="259" w:lineRule="auto"/>
      <w:outlineLvl w:val="2"/>
    </w:pPr>
    <w:rPr>
      <w:rFonts w:asciiTheme="majorHAnsi" w:eastAsiaTheme="majorEastAsia" w:hAnsiTheme="majorHAnsi" w:cstheme="majorBidi"/>
      <w:color w:val="243F60" w:themeColor="accent1" w:themeShade="7F"/>
      <w:lang w:val="es-AR" w:eastAsia="en-US"/>
    </w:rPr>
  </w:style>
  <w:style w:type="paragraph" w:styleId="Ttulo4">
    <w:name w:val="heading 4"/>
    <w:basedOn w:val="Normal"/>
    <w:next w:val="Normal"/>
    <w:link w:val="Ttulo4Car"/>
    <w:uiPriority w:val="9"/>
    <w:semiHidden/>
    <w:unhideWhenUsed/>
    <w:qFormat/>
    <w:rsid w:val="00411F76"/>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3425"/>
    <w:rPr>
      <w:color w:val="0000FF"/>
      <w:u w:val="single"/>
    </w:rPr>
  </w:style>
  <w:style w:type="character" w:customStyle="1" w:styleId="Ttulo1Car">
    <w:name w:val="Título 1 Car"/>
    <w:basedOn w:val="Fuentedeprrafopredeter"/>
    <w:link w:val="Ttulo1"/>
    <w:uiPriority w:val="9"/>
    <w:rsid w:val="00411F76"/>
    <w:rPr>
      <w:rFonts w:asciiTheme="majorHAnsi" w:eastAsiaTheme="majorEastAsia" w:hAnsiTheme="majorHAnsi" w:cstheme="majorBidi"/>
      <w:color w:val="365F91" w:themeColor="accent1" w:themeShade="BF"/>
      <w:sz w:val="32"/>
      <w:szCs w:val="32"/>
      <w:lang w:val="es-AR"/>
    </w:rPr>
  </w:style>
  <w:style w:type="character" w:customStyle="1" w:styleId="Ttulo2Car">
    <w:name w:val="Título 2 Car"/>
    <w:basedOn w:val="Fuentedeprrafopredeter"/>
    <w:link w:val="Ttulo2"/>
    <w:uiPriority w:val="9"/>
    <w:rsid w:val="00411F76"/>
    <w:rPr>
      <w:rFonts w:asciiTheme="majorHAnsi" w:eastAsiaTheme="majorEastAsia" w:hAnsiTheme="majorHAnsi" w:cstheme="majorBidi"/>
      <w:color w:val="365F91" w:themeColor="accent1" w:themeShade="BF"/>
      <w:sz w:val="26"/>
      <w:szCs w:val="26"/>
      <w:lang w:val="es-AR"/>
    </w:rPr>
  </w:style>
  <w:style w:type="character" w:customStyle="1" w:styleId="Ttulo3Car">
    <w:name w:val="Título 3 Car"/>
    <w:basedOn w:val="Fuentedeprrafopredeter"/>
    <w:link w:val="Ttulo3"/>
    <w:uiPriority w:val="9"/>
    <w:semiHidden/>
    <w:rsid w:val="00411F76"/>
    <w:rPr>
      <w:rFonts w:asciiTheme="majorHAnsi" w:eastAsiaTheme="majorEastAsia" w:hAnsiTheme="majorHAnsi" w:cstheme="majorBidi"/>
      <w:color w:val="243F60" w:themeColor="accent1" w:themeShade="7F"/>
      <w:lang w:val="es-AR"/>
    </w:rPr>
  </w:style>
  <w:style w:type="character" w:customStyle="1" w:styleId="Ttulo4Car">
    <w:name w:val="Título 4 Car"/>
    <w:basedOn w:val="Fuentedeprrafopredeter"/>
    <w:link w:val="Ttulo4"/>
    <w:uiPriority w:val="9"/>
    <w:semiHidden/>
    <w:rsid w:val="00411F76"/>
    <w:rPr>
      <w:rFonts w:asciiTheme="majorHAnsi" w:eastAsiaTheme="majorEastAsia" w:hAnsiTheme="majorHAnsi" w:cstheme="majorBidi"/>
      <w:i/>
      <w:iCs/>
      <w:color w:val="365F91" w:themeColor="accent1" w:themeShade="BF"/>
      <w:sz w:val="22"/>
      <w:szCs w:val="22"/>
      <w:lang w:val="es-AR"/>
    </w:rPr>
  </w:style>
  <w:style w:type="paragraph" w:styleId="Sangradetextonormal">
    <w:name w:val="Body Text Indent"/>
    <w:basedOn w:val="Normal"/>
    <w:link w:val="SangradetextonormalCar"/>
    <w:semiHidden/>
    <w:unhideWhenUsed/>
    <w:rsid w:val="00411F76"/>
    <w:pPr>
      <w:ind w:firstLine="360"/>
    </w:pPr>
    <w:rPr>
      <w:rFonts w:asciiTheme="minorHAnsi" w:eastAsiaTheme="minorEastAsia" w:hAnsiTheme="minorHAnsi" w:cstheme="minorBidi"/>
      <w:szCs w:val="22"/>
    </w:rPr>
  </w:style>
  <w:style w:type="character" w:customStyle="1" w:styleId="SangradetextonormalCar">
    <w:name w:val="Sangría de texto normal Car"/>
    <w:basedOn w:val="Fuentedeprrafopredeter"/>
    <w:link w:val="Sangradetextonormal"/>
    <w:semiHidden/>
    <w:rsid w:val="00411F76"/>
    <w:rPr>
      <w:rFonts w:asciiTheme="minorHAnsi" w:eastAsiaTheme="minorEastAsia" w:hAnsiTheme="minorHAnsi" w:cstheme="minorBidi"/>
      <w:szCs w:val="22"/>
      <w:lang w:eastAsia="es-ES"/>
    </w:rPr>
  </w:style>
  <w:style w:type="paragraph" w:styleId="Sangra2detindependiente">
    <w:name w:val="Body Text Indent 2"/>
    <w:basedOn w:val="Normal"/>
    <w:link w:val="Sangra2detindependienteCar"/>
    <w:semiHidden/>
    <w:unhideWhenUsed/>
    <w:rsid w:val="00411F76"/>
    <w:pPr>
      <w:ind w:left="360"/>
    </w:pPr>
    <w:rPr>
      <w:rFonts w:asciiTheme="minorHAnsi" w:eastAsiaTheme="minorEastAsia" w:hAnsiTheme="minorHAnsi" w:cstheme="minorBidi"/>
      <w:szCs w:val="22"/>
    </w:rPr>
  </w:style>
  <w:style w:type="character" w:customStyle="1" w:styleId="Sangra2detindependienteCar">
    <w:name w:val="Sangría 2 de t. independiente Car"/>
    <w:basedOn w:val="Fuentedeprrafopredeter"/>
    <w:link w:val="Sangra2detindependiente"/>
    <w:semiHidden/>
    <w:rsid w:val="00411F76"/>
    <w:rPr>
      <w:rFonts w:asciiTheme="minorHAnsi" w:eastAsiaTheme="minorEastAsia" w:hAnsiTheme="minorHAnsi" w:cstheme="minorBidi"/>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5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yM0av4VBwg" TargetMode="External"/><Relationship Id="rId5" Type="http://schemas.openxmlformats.org/officeDocument/2006/relationships/hyperlink" Target="http://www.arcoiris.tv/scheda/it/1683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Diana Pipkin</cp:lastModifiedBy>
  <cp:revision>9</cp:revision>
  <dcterms:created xsi:type="dcterms:W3CDTF">2019-06-21T21:10:00Z</dcterms:created>
  <dcterms:modified xsi:type="dcterms:W3CDTF">2019-06-24T20:25:00Z</dcterms:modified>
</cp:coreProperties>
</file>